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380" w14:textId="77777777" w:rsidR="00D96314" w:rsidRDefault="00547924">
      <w:pPr>
        <w:spacing w:after="0" w:line="259" w:lineRule="auto"/>
        <w:ind w:left="1349" w:right="0" w:firstLine="0"/>
        <w:jc w:val="left"/>
      </w:pPr>
      <w:r>
        <w:t xml:space="preserve"> </w:t>
      </w:r>
    </w:p>
    <w:p w14:paraId="568B9149" w14:textId="77777777" w:rsidR="00D96314" w:rsidRDefault="00547924">
      <w:pPr>
        <w:spacing w:after="0" w:line="259" w:lineRule="auto"/>
        <w:ind w:left="1349" w:right="0" w:firstLine="0"/>
        <w:jc w:val="left"/>
      </w:pPr>
      <w:r>
        <w:t xml:space="preserve"> </w:t>
      </w:r>
    </w:p>
    <w:p w14:paraId="43518AEA" w14:textId="16A7A40A" w:rsidR="00D96314" w:rsidRDefault="00D96314" w:rsidP="000F4AF2">
      <w:pPr>
        <w:spacing w:after="0" w:line="259" w:lineRule="auto"/>
        <w:ind w:left="0" w:right="0" w:firstLine="0"/>
        <w:jc w:val="center"/>
      </w:pPr>
    </w:p>
    <w:p w14:paraId="2A4B1457" w14:textId="384CE42E" w:rsidR="00D96314" w:rsidRPr="003300D9" w:rsidRDefault="00547924" w:rsidP="000F4AF2">
      <w:pPr>
        <w:spacing w:after="0" w:line="259" w:lineRule="auto"/>
        <w:ind w:left="0" w:right="268" w:firstLine="0"/>
        <w:jc w:val="center"/>
        <w:rPr>
          <w:rFonts w:ascii="Trebuchet MS" w:hAnsi="Trebuchet MS"/>
        </w:rPr>
      </w:pPr>
      <w:r w:rsidRPr="003300D9">
        <w:rPr>
          <w:rFonts w:ascii="Trebuchet MS" w:hAnsi="Trebuchet MS"/>
          <w:u w:val="single" w:color="000000"/>
        </w:rPr>
        <w:t>DISCLOSURE ON LIQUIDITY COVERAGE RATIO AS ON 3</w:t>
      </w:r>
      <w:r w:rsidR="000F4AF2" w:rsidRPr="003300D9">
        <w:rPr>
          <w:rFonts w:ascii="Trebuchet MS" w:hAnsi="Trebuchet MS"/>
          <w:u w:val="single" w:color="000000"/>
        </w:rPr>
        <w:t>1.12.2025</w:t>
      </w:r>
    </w:p>
    <w:p w14:paraId="1D582593" w14:textId="77777777" w:rsidR="00D96314" w:rsidRDefault="00547924">
      <w:pPr>
        <w:spacing w:after="0" w:line="259" w:lineRule="auto"/>
        <w:ind w:left="14" w:right="0" w:firstLine="0"/>
        <w:jc w:val="left"/>
      </w:pPr>
      <w:r>
        <w:t xml:space="preserve">  </w:t>
      </w:r>
    </w:p>
    <w:p w14:paraId="59A63551" w14:textId="77777777" w:rsidR="00D96314" w:rsidRPr="003300D9" w:rsidRDefault="00547924">
      <w:pPr>
        <w:spacing w:after="270"/>
        <w:ind w:left="9" w:right="80"/>
        <w:rPr>
          <w:rFonts w:ascii="Trebuchet MS" w:hAnsi="Trebuchet MS"/>
        </w:rPr>
      </w:pPr>
      <w:r w:rsidRPr="003300D9">
        <w:rPr>
          <w:rFonts w:ascii="Trebuchet MS" w:hAnsi="Trebuchet MS"/>
        </w:rPr>
        <w:t xml:space="preserve">Liquidity Coverage Ratio (LCR) guidelines were implemented by the Banks with an objective to maintain adequate level of unencumbered High Quality Liquid Assets (HQLAs) that can be converted into cash to meet its liquidity needs for a time-horizon up to 30 calendar days under a significantly severe liquidity stress scenario. </w:t>
      </w:r>
    </w:p>
    <w:p w14:paraId="5858581D" w14:textId="77777777" w:rsidR="00D96314" w:rsidRPr="003300D9" w:rsidRDefault="00547924">
      <w:pPr>
        <w:spacing w:after="17" w:line="259" w:lineRule="auto"/>
        <w:ind w:left="14" w:right="0" w:firstLine="0"/>
        <w:jc w:val="left"/>
        <w:rPr>
          <w:rFonts w:ascii="Trebuchet MS" w:hAnsi="Trebuchet MS"/>
        </w:rPr>
      </w:pPr>
      <w:r w:rsidRPr="003300D9">
        <w:rPr>
          <w:rFonts w:ascii="Trebuchet MS" w:hAnsi="Trebuchet MS"/>
        </w:rPr>
        <w:t xml:space="preserve">                     LCR=     </w:t>
      </w:r>
      <w:r w:rsidRPr="003300D9">
        <w:rPr>
          <w:rFonts w:ascii="Trebuchet MS" w:hAnsi="Trebuchet MS"/>
          <w:u w:val="single" w:color="000000"/>
        </w:rPr>
        <w:t>Stock High Quality Liquid Assets (HQLAs)</w:t>
      </w:r>
      <w:r w:rsidRPr="003300D9">
        <w:rPr>
          <w:rFonts w:ascii="Trebuchet MS" w:hAnsi="Trebuchet MS"/>
        </w:rPr>
        <w:t xml:space="preserve"> </w:t>
      </w:r>
    </w:p>
    <w:p w14:paraId="50393BC2" w14:textId="77777777" w:rsidR="00D96314" w:rsidRPr="003300D9" w:rsidRDefault="00547924">
      <w:pPr>
        <w:spacing w:after="11"/>
        <w:ind w:left="9" w:right="80"/>
        <w:rPr>
          <w:rFonts w:ascii="Trebuchet MS" w:hAnsi="Trebuchet MS"/>
        </w:rPr>
      </w:pPr>
      <w:r w:rsidRPr="003300D9">
        <w:rPr>
          <w:rFonts w:ascii="Trebuchet MS" w:hAnsi="Trebuchet MS"/>
        </w:rPr>
        <w:t xml:space="preserve">                                 Total Net Cash Outflows over the next 30 calendar days </w:t>
      </w:r>
    </w:p>
    <w:p w14:paraId="3EB6588B" w14:textId="77777777" w:rsidR="00D96314" w:rsidRPr="003300D9" w:rsidRDefault="00547924">
      <w:pPr>
        <w:spacing w:after="14" w:line="259" w:lineRule="auto"/>
        <w:ind w:left="14" w:right="0" w:firstLine="0"/>
        <w:jc w:val="left"/>
        <w:rPr>
          <w:rFonts w:ascii="Trebuchet MS" w:hAnsi="Trebuchet MS"/>
        </w:rPr>
      </w:pPr>
      <w:r w:rsidRPr="003300D9">
        <w:rPr>
          <w:rFonts w:ascii="Trebuchet MS" w:hAnsi="Trebuchet MS"/>
        </w:rPr>
        <w:t xml:space="preserve"> </w:t>
      </w:r>
    </w:p>
    <w:p w14:paraId="746FA8E1" w14:textId="6D55679B" w:rsidR="00D96314" w:rsidRPr="003300D9" w:rsidRDefault="00547924">
      <w:pPr>
        <w:ind w:left="9" w:right="80"/>
        <w:rPr>
          <w:rFonts w:ascii="Trebuchet MS" w:hAnsi="Trebuchet MS"/>
        </w:rPr>
      </w:pPr>
      <w:r w:rsidRPr="003300D9">
        <w:rPr>
          <w:rFonts w:ascii="Trebuchet MS" w:hAnsi="Trebuchet MS"/>
        </w:rPr>
        <w:t xml:space="preserve">HQLA comprise of liquid assets that can be readily </w:t>
      </w:r>
      <w:r w:rsidR="00131488" w:rsidRPr="003300D9">
        <w:rPr>
          <w:rFonts w:ascii="Trebuchet MS" w:hAnsi="Trebuchet MS"/>
        </w:rPr>
        <w:t xml:space="preserve">converted to cash </w:t>
      </w:r>
      <w:r w:rsidRPr="003300D9">
        <w:rPr>
          <w:rFonts w:ascii="Trebuchet MS" w:hAnsi="Trebuchet MS"/>
        </w:rPr>
        <w:t xml:space="preserve">or used as collateral to obtain cash in a range of stress scenarios.  </w:t>
      </w:r>
    </w:p>
    <w:p w14:paraId="7AAEBE84" w14:textId="77777777" w:rsidR="00D96314" w:rsidRPr="003300D9" w:rsidRDefault="00547924">
      <w:pPr>
        <w:ind w:left="9" w:right="80"/>
        <w:rPr>
          <w:rFonts w:ascii="Trebuchet MS" w:hAnsi="Trebuchet MS"/>
        </w:rPr>
      </w:pPr>
      <w:r w:rsidRPr="003300D9">
        <w:rPr>
          <w:rFonts w:ascii="Trebuchet MS" w:hAnsi="Trebuchet MS"/>
        </w:rPr>
        <w:t xml:space="preserve">There are two categories of assets included in the stock of HQLAs, viz. Level 1 and Level 2 (Level 2A and Level 2B) assets.  While Level 1 assets are with 0% haircut, Level 2A and Level 2B assets are with 15% and 50% haircuts respectively.  </w:t>
      </w:r>
    </w:p>
    <w:p w14:paraId="1CCFB4AF" w14:textId="77777777" w:rsidR="00D96314" w:rsidRPr="003300D9" w:rsidRDefault="00547924">
      <w:pPr>
        <w:spacing w:after="8"/>
        <w:ind w:left="9" w:right="80"/>
        <w:rPr>
          <w:rFonts w:ascii="Trebuchet MS" w:hAnsi="Trebuchet MS"/>
        </w:rPr>
      </w:pPr>
      <w:r w:rsidRPr="003300D9">
        <w:rPr>
          <w:rFonts w:ascii="Trebuchet MS" w:hAnsi="Trebuchet MS"/>
        </w:rPr>
        <w:t xml:space="preserve">The Total Net Cash Outflows are the total expected cash outflows minus total expected cash inflows for the subsequent 30 calendar days.  </w:t>
      </w:r>
    </w:p>
    <w:p w14:paraId="53C710A7" w14:textId="77777777" w:rsidR="004B3F57" w:rsidRDefault="00547924">
      <w:pPr>
        <w:spacing w:after="0" w:line="259" w:lineRule="auto"/>
        <w:ind w:left="0" w:right="87" w:firstLine="0"/>
        <w:jc w:val="right"/>
        <w:rPr>
          <w:sz w:val="17"/>
        </w:rPr>
      </w:pPr>
      <w:r>
        <w:rPr>
          <w:sz w:val="17"/>
        </w:rPr>
        <w:t>Amount In Cr.</w:t>
      </w:r>
    </w:p>
    <w:p w14:paraId="44248993" w14:textId="77777777" w:rsidR="004B3F57" w:rsidRDefault="004B3F57">
      <w:pPr>
        <w:spacing w:after="0" w:line="259" w:lineRule="auto"/>
        <w:ind w:left="0" w:right="87" w:firstLine="0"/>
        <w:jc w:val="right"/>
        <w:rPr>
          <w:sz w:val="17"/>
        </w:rPr>
      </w:pPr>
    </w:p>
    <w:p w14:paraId="52338A44" w14:textId="77777777" w:rsidR="004B3F57" w:rsidRDefault="004B3F57">
      <w:pPr>
        <w:spacing w:after="0" w:line="259" w:lineRule="auto"/>
        <w:ind w:left="0" w:right="87" w:firstLine="0"/>
        <w:jc w:val="right"/>
        <w:rPr>
          <w:sz w:val="17"/>
        </w:rPr>
      </w:pPr>
    </w:p>
    <w:tbl>
      <w:tblPr>
        <w:tblW w:w="5000" w:type="pct"/>
        <w:tblLook w:val="04A0" w:firstRow="1" w:lastRow="0" w:firstColumn="1" w:lastColumn="0" w:noHBand="0" w:noVBand="1"/>
      </w:tblPr>
      <w:tblGrid>
        <w:gridCol w:w="534"/>
        <w:gridCol w:w="3258"/>
        <w:gridCol w:w="1495"/>
        <w:gridCol w:w="1327"/>
        <w:gridCol w:w="1219"/>
        <w:gridCol w:w="1390"/>
      </w:tblGrid>
      <w:tr w:rsidR="004B3F57" w:rsidRPr="004B3F57" w14:paraId="74CA4AFA" w14:textId="77777777" w:rsidTr="004B3F57">
        <w:trPr>
          <w:trHeight w:val="315"/>
        </w:trPr>
        <w:tc>
          <w:tcPr>
            <w:tcW w:w="2002"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02D0EA5"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 </w:t>
            </w:r>
          </w:p>
        </w:tc>
        <w:tc>
          <w:tcPr>
            <w:tcW w:w="1557"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3B97BFA9" w14:textId="77777777" w:rsidR="004B3F57" w:rsidRPr="004B3F57" w:rsidRDefault="004B3F57" w:rsidP="004B3F57">
            <w:pPr>
              <w:spacing w:after="0" w:line="240" w:lineRule="auto"/>
              <w:ind w:left="0" w:right="0" w:firstLine="0"/>
              <w:jc w:val="center"/>
              <w:rPr>
                <w:rFonts w:ascii="Trebuchet MS" w:hAnsi="Trebuchet MS" w:cs="Calibri"/>
                <w:b/>
                <w:bCs/>
                <w:sz w:val="20"/>
                <w:szCs w:val="20"/>
              </w:rPr>
            </w:pPr>
            <w:r w:rsidRPr="004B3F57">
              <w:rPr>
                <w:rFonts w:ascii="Trebuchet MS" w:hAnsi="Trebuchet MS" w:cs="Calibri"/>
                <w:b/>
                <w:bCs/>
                <w:sz w:val="20"/>
                <w:szCs w:val="20"/>
              </w:rPr>
              <w:t>Quarter Dec 2025</w:t>
            </w:r>
          </w:p>
        </w:tc>
        <w:tc>
          <w:tcPr>
            <w:tcW w:w="1440"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47A08991" w14:textId="77777777" w:rsidR="004B3F57" w:rsidRPr="004B3F57" w:rsidRDefault="004B3F57" w:rsidP="004B3F57">
            <w:pPr>
              <w:spacing w:after="0" w:line="240" w:lineRule="auto"/>
              <w:ind w:left="0" w:right="0" w:firstLine="0"/>
              <w:jc w:val="center"/>
              <w:rPr>
                <w:rFonts w:ascii="Trebuchet MS" w:hAnsi="Trebuchet MS" w:cs="Calibri"/>
                <w:b/>
                <w:bCs/>
                <w:sz w:val="20"/>
                <w:szCs w:val="20"/>
              </w:rPr>
            </w:pPr>
            <w:r w:rsidRPr="004B3F57">
              <w:rPr>
                <w:rFonts w:ascii="Trebuchet MS" w:hAnsi="Trebuchet MS" w:cs="Calibri"/>
                <w:b/>
                <w:bCs/>
                <w:sz w:val="20"/>
                <w:szCs w:val="20"/>
              </w:rPr>
              <w:t xml:space="preserve">Quarter </w:t>
            </w:r>
            <w:proofErr w:type="spellStart"/>
            <w:r w:rsidRPr="004B3F57">
              <w:rPr>
                <w:rFonts w:ascii="Trebuchet MS" w:hAnsi="Trebuchet MS" w:cs="Calibri"/>
                <w:b/>
                <w:bCs/>
                <w:sz w:val="20"/>
                <w:szCs w:val="20"/>
              </w:rPr>
              <w:t>sep</w:t>
            </w:r>
            <w:proofErr w:type="spellEnd"/>
            <w:r w:rsidRPr="004B3F57">
              <w:rPr>
                <w:rFonts w:ascii="Trebuchet MS" w:hAnsi="Trebuchet MS" w:cs="Calibri"/>
                <w:b/>
                <w:bCs/>
                <w:sz w:val="20"/>
                <w:szCs w:val="20"/>
              </w:rPr>
              <w:t xml:space="preserve"> 2025</w:t>
            </w:r>
          </w:p>
        </w:tc>
      </w:tr>
      <w:tr w:rsidR="004B3F57" w:rsidRPr="004B3F57" w14:paraId="682B682B" w14:textId="77777777" w:rsidTr="004B3F57">
        <w:trPr>
          <w:trHeight w:val="885"/>
        </w:trPr>
        <w:tc>
          <w:tcPr>
            <w:tcW w:w="2002"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FAB47B8" w14:textId="77777777" w:rsidR="004B3F57" w:rsidRPr="004B3F57" w:rsidRDefault="004B3F57" w:rsidP="004B3F57">
            <w:pPr>
              <w:spacing w:after="0" w:line="240" w:lineRule="auto"/>
              <w:ind w:left="0" w:right="0" w:firstLine="0"/>
              <w:jc w:val="center"/>
              <w:rPr>
                <w:rFonts w:ascii="Trebuchet MS" w:hAnsi="Trebuchet MS" w:cs="Calibri"/>
                <w:b/>
                <w:bCs/>
                <w:sz w:val="36"/>
                <w:szCs w:val="36"/>
              </w:rPr>
            </w:pPr>
            <w:r w:rsidRPr="004B3F57">
              <w:rPr>
                <w:rFonts w:ascii="Trebuchet MS" w:hAnsi="Trebuchet MS" w:cs="Calibri"/>
                <w:b/>
                <w:bCs/>
                <w:sz w:val="36"/>
                <w:szCs w:val="36"/>
              </w:rPr>
              <w:t> </w:t>
            </w:r>
          </w:p>
        </w:tc>
        <w:tc>
          <w:tcPr>
            <w:tcW w:w="824" w:type="pct"/>
            <w:tcBorders>
              <w:top w:val="nil"/>
              <w:left w:val="nil"/>
              <w:bottom w:val="single" w:sz="8" w:space="0" w:color="auto"/>
              <w:right w:val="single" w:sz="8" w:space="0" w:color="auto"/>
            </w:tcBorders>
            <w:shd w:val="clear" w:color="000000" w:fill="FFFFFF"/>
            <w:vAlign w:val="center"/>
            <w:hideMark/>
          </w:tcPr>
          <w:p w14:paraId="38EB0ABA" w14:textId="07B7302C" w:rsidR="004B3F57" w:rsidRPr="004B3F57" w:rsidRDefault="004B3F57" w:rsidP="004B3F57">
            <w:pPr>
              <w:spacing w:after="0" w:line="240" w:lineRule="auto"/>
              <w:ind w:left="0" w:right="0" w:firstLine="0"/>
              <w:jc w:val="left"/>
              <w:rPr>
                <w:rFonts w:ascii="Trebuchet MS" w:hAnsi="Trebuchet MS" w:cs="Calibri"/>
                <w:b/>
                <w:bCs/>
                <w:sz w:val="18"/>
                <w:szCs w:val="18"/>
              </w:rPr>
            </w:pPr>
            <w:r w:rsidRPr="004B3F57">
              <w:rPr>
                <w:rFonts w:ascii="Trebuchet MS" w:hAnsi="Trebuchet MS" w:cs="Calibri"/>
                <w:b/>
                <w:bCs/>
                <w:sz w:val="18"/>
                <w:szCs w:val="18"/>
              </w:rPr>
              <w:t>Total Unweighted value (Average)</w:t>
            </w:r>
          </w:p>
        </w:tc>
        <w:tc>
          <w:tcPr>
            <w:tcW w:w="733" w:type="pct"/>
            <w:tcBorders>
              <w:top w:val="nil"/>
              <w:left w:val="nil"/>
              <w:bottom w:val="single" w:sz="8" w:space="0" w:color="auto"/>
              <w:right w:val="single" w:sz="8" w:space="0" w:color="auto"/>
            </w:tcBorders>
            <w:shd w:val="clear" w:color="000000" w:fill="FFFFFF"/>
            <w:vAlign w:val="center"/>
            <w:hideMark/>
          </w:tcPr>
          <w:p w14:paraId="2C0753D8" w14:textId="37AFDE2D" w:rsidR="004B3F57" w:rsidRPr="004B3F57" w:rsidRDefault="004B3F57" w:rsidP="004B3F57">
            <w:pPr>
              <w:spacing w:after="0" w:line="240" w:lineRule="auto"/>
              <w:ind w:left="0" w:right="0" w:firstLine="0"/>
              <w:jc w:val="left"/>
              <w:rPr>
                <w:rFonts w:ascii="Trebuchet MS" w:hAnsi="Trebuchet MS" w:cs="Calibri"/>
                <w:b/>
                <w:bCs/>
                <w:sz w:val="18"/>
                <w:szCs w:val="18"/>
              </w:rPr>
            </w:pPr>
            <w:r w:rsidRPr="004B3F57">
              <w:rPr>
                <w:rFonts w:ascii="Trebuchet MS" w:hAnsi="Trebuchet MS" w:cs="Calibri"/>
                <w:b/>
                <w:bCs/>
                <w:sz w:val="18"/>
                <w:szCs w:val="18"/>
              </w:rPr>
              <w:t>Total Weighted value (Average)</w:t>
            </w:r>
          </w:p>
        </w:tc>
        <w:tc>
          <w:tcPr>
            <w:tcW w:w="666" w:type="pct"/>
            <w:tcBorders>
              <w:top w:val="nil"/>
              <w:left w:val="nil"/>
              <w:bottom w:val="single" w:sz="8" w:space="0" w:color="auto"/>
              <w:right w:val="single" w:sz="8" w:space="0" w:color="auto"/>
            </w:tcBorders>
            <w:shd w:val="clear" w:color="000000" w:fill="FFFFFF"/>
            <w:vAlign w:val="center"/>
            <w:hideMark/>
          </w:tcPr>
          <w:p w14:paraId="302849E1" w14:textId="43942866" w:rsidR="004B3F57" w:rsidRPr="004B3F57" w:rsidRDefault="004B3F57" w:rsidP="004B3F57">
            <w:pPr>
              <w:spacing w:after="0" w:line="240" w:lineRule="auto"/>
              <w:ind w:left="0" w:right="0" w:firstLine="0"/>
              <w:jc w:val="left"/>
              <w:rPr>
                <w:rFonts w:ascii="Trebuchet MS" w:hAnsi="Trebuchet MS" w:cs="Calibri"/>
                <w:b/>
                <w:bCs/>
                <w:sz w:val="18"/>
                <w:szCs w:val="18"/>
              </w:rPr>
            </w:pPr>
            <w:r w:rsidRPr="004B3F57">
              <w:rPr>
                <w:rFonts w:ascii="Trebuchet MS" w:hAnsi="Trebuchet MS" w:cs="Calibri"/>
                <w:b/>
                <w:bCs/>
                <w:sz w:val="18"/>
                <w:szCs w:val="18"/>
              </w:rPr>
              <w:t>Total Unweighted value (Average)</w:t>
            </w:r>
          </w:p>
        </w:tc>
        <w:tc>
          <w:tcPr>
            <w:tcW w:w="774" w:type="pct"/>
            <w:tcBorders>
              <w:top w:val="nil"/>
              <w:left w:val="nil"/>
              <w:bottom w:val="single" w:sz="8" w:space="0" w:color="auto"/>
              <w:right w:val="single" w:sz="8" w:space="0" w:color="auto"/>
            </w:tcBorders>
            <w:shd w:val="clear" w:color="000000" w:fill="FFFFFF"/>
            <w:vAlign w:val="center"/>
            <w:hideMark/>
          </w:tcPr>
          <w:p w14:paraId="14A7105C" w14:textId="582C9357" w:rsidR="004B3F57" w:rsidRPr="004B3F57" w:rsidRDefault="004B3F57" w:rsidP="004B3F57">
            <w:pPr>
              <w:spacing w:after="0" w:line="240" w:lineRule="auto"/>
              <w:ind w:left="0" w:right="0" w:firstLine="0"/>
              <w:jc w:val="left"/>
              <w:rPr>
                <w:rFonts w:ascii="Trebuchet MS" w:hAnsi="Trebuchet MS" w:cs="Calibri"/>
                <w:b/>
                <w:bCs/>
                <w:sz w:val="18"/>
                <w:szCs w:val="18"/>
              </w:rPr>
            </w:pPr>
            <w:r w:rsidRPr="004B3F57">
              <w:rPr>
                <w:rFonts w:ascii="Trebuchet MS" w:hAnsi="Trebuchet MS" w:cs="Calibri"/>
                <w:b/>
                <w:bCs/>
                <w:sz w:val="18"/>
                <w:szCs w:val="18"/>
              </w:rPr>
              <w:t>Total Weighted value (Average)</w:t>
            </w:r>
          </w:p>
        </w:tc>
      </w:tr>
      <w:tr w:rsidR="004B3F57" w:rsidRPr="004B3F57" w14:paraId="4387A2EE" w14:textId="77777777" w:rsidTr="004B3F57">
        <w:trPr>
          <w:trHeight w:val="315"/>
        </w:trPr>
        <w:tc>
          <w:tcPr>
            <w:tcW w:w="2002"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4483626"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High Quality Liquid Assets</w:t>
            </w:r>
          </w:p>
        </w:tc>
        <w:tc>
          <w:tcPr>
            <w:tcW w:w="824" w:type="pct"/>
            <w:tcBorders>
              <w:top w:val="nil"/>
              <w:left w:val="nil"/>
              <w:bottom w:val="single" w:sz="8" w:space="0" w:color="auto"/>
              <w:right w:val="single" w:sz="8" w:space="0" w:color="auto"/>
            </w:tcBorders>
            <w:shd w:val="clear" w:color="000000" w:fill="FFFFFF"/>
            <w:noWrap/>
            <w:vAlign w:val="center"/>
            <w:hideMark/>
          </w:tcPr>
          <w:p w14:paraId="41524BA9"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c>
          <w:tcPr>
            <w:tcW w:w="733" w:type="pct"/>
            <w:tcBorders>
              <w:top w:val="nil"/>
              <w:left w:val="nil"/>
              <w:bottom w:val="single" w:sz="8" w:space="0" w:color="auto"/>
              <w:right w:val="single" w:sz="8" w:space="0" w:color="auto"/>
            </w:tcBorders>
            <w:shd w:val="clear" w:color="000000" w:fill="FFFFFF"/>
            <w:noWrap/>
            <w:vAlign w:val="center"/>
            <w:hideMark/>
          </w:tcPr>
          <w:p w14:paraId="0D2D75E7"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c>
          <w:tcPr>
            <w:tcW w:w="666" w:type="pct"/>
            <w:tcBorders>
              <w:top w:val="nil"/>
              <w:left w:val="nil"/>
              <w:bottom w:val="single" w:sz="8" w:space="0" w:color="auto"/>
              <w:right w:val="single" w:sz="8" w:space="0" w:color="auto"/>
            </w:tcBorders>
            <w:shd w:val="clear" w:color="000000" w:fill="FFFFFF"/>
            <w:noWrap/>
            <w:vAlign w:val="center"/>
            <w:hideMark/>
          </w:tcPr>
          <w:p w14:paraId="2410DACA"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c>
          <w:tcPr>
            <w:tcW w:w="774" w:type="pct"/>
            <w:tcBorders>
              <w:top w:val="nil"/>
              <w:left w:val="nil"/>
              <w:bottom w:val="single" w:sz="8" w:space="0" w:color="auto"/>
              <w:right w:val="single" w:sz="8" w:space="0" w:color="auto"/>
            </w:tcBorders>
            <w:shd w:val="clear" w:color="000000" w:fill="FFFFFF"/>
            <w:noWrap/>
            <w:vAlign w:val="center"/>
            <w:hideMark/>
          </w:tcPr>
          <w:p w14:paraId="35A62FE1"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r>
      <w:tr w:rsidR="004B3F57" w:rsidRPr="004B3F57" w14:paraId="38CAC700" w14:textId="77777777" w:rsidTr="004B3F57">
        <w:trPr>
          <w:trHeight w:val="540"/>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582564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w:t>
            </w:r>
          </w:p>
        </w:tc>
        <w:tc>
          <w:tcPr>
            <w:tcW w:w="1780" w:type="pct"/>
            <w:tcBorders>
              <w:top w:val="nil"/>
              <w:left w:val="nil"/>
              <w:bottom w:val="single" w:sz="8" w:space="0" w:color="auto"/>
              <w:right w:val="single" w:sz="8" w:space="0" w:color="auto"/>
            </w:tcBorders>
            <w:shd w:val="clear" w:color="000000" w:fill="FFFFFF"/>
            <w:vAlign w:val="center"/>
            <w:hideMark/>
          </w:tcPr>
          <w:p w14:paraId="3434EF7C"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xml:space="preserve">Total High Quality Liquid Assets </w:t>
            </w:r>
            <w:proofErr w:type="gramStart"/>
            <w:r w:rsidRPr="004B3F57">
              <w:rPr>
                <w:rFonts w:ascii="Trebuchet MS" w:hAnsi="Trebuchet MS" w:cs="Calibri"/>
                <w:sz w:val="20"/>
                <w:szCs w:val="20"/>
              </w:rPr>
              <w:t>( HQLA</w:t>
            </w:r>
            <w:proofErr w:type="gramEnd"/>
            <w:r w:rsidRPr="004B3F57">
              <w:rPr>
                <w:rFonts w:ascii="Trebuchet MS" w:hAnsi="Trebuchet MS" w:cs="Calibri"/>
                <w:sz w:val="20"/>
                <w:szCs w:val="20"/>
              </w:rPr>
              <w:t xml:space="preserve"> )</w:t>
            </w:r>
          </w:p>
        </w:tc>
        <w:tc>
          <w:tcPr>
            <w:tcW w:w="824" w:type="pct"/>
            <w:tcBorders>
              <w:top w:val="nil"/>
              <w:left w:val="nil"/>
              <w:bottom w:val="single" w:sz="8" w:space="0" w:color="auto"/>
              <w:right w:val="single" w:sz="8" w:space="0" w:color="auto"/>
            </w:tcBorders>
            <w:shd w:val="clear" w:color="000000" w:fill="000000"/>
            <w:noWrap/>
            <w:vAlign w:val="center"/>
            <w:hideMark/>
          </w:tcPr>
          <w:p w14:paraId="6DD42E0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34758.77</w:t>
            </w:r>
          </w:p>
        </w:tc>
        <w:tc>
          <w:tcPr>
            <w:tcW w:w="733" w:type="pct"/>
            <w:tcBorders>
              <w:top w:val="nil"/>
              <w:left w:val="nil"/>
              <w:bottom w:val="single" w:sz="8" w:space="0" w:color="auto"/>
              <w:right w:val="single" w:sz="8" w:space="0" w:color="auto"/>
            </w:tcBorders>
            <w:shd w:val="clear" w:color="000000" w:fill="FFFFFF"/>
            <w:noWrap/>
            <w:vAlign w:val="center"/>
            <w:hideMark/>
          </w:tcPr>
          <w:p w14:paraId="7FF6B56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34852.22</w:t>
            </w:r>
          </w:p>
        </w:tc>
        <w:tc>
          <w:tcPr>
            <w:tcW w:w="666" w:type="pct"/>
            <w:tcBorders>
              <w:top w:val="nil"/>
              <w:left w:val="nil"/>
              <w:bottom w:val="single" w:sz="8" w:space="0" w:color="auto"/>
              <w:right w:val="single" w:sz="8" w:space="0" w:color="auto"/>
            </w:tcBorders>
            <w:shd w:val="clear" w:color="000000" w:fill="000000"/>
            <w:noWrap/>
            <w:vAlign w:val="center"/>
            <w:hideMark/>
          </w:tcPr>
          <w:p w14:paraId="369A422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36091.93</w:t>
            </w:r>
          </w:p>
        </w:tc>
        <w:tc>
          <w:tcPr>
            <w:tcW w:w="774" w:type="pct"/>
            <w:tcBorders>
              <w:top w:val="nil"/>
              <w:left w:val="nil"/>
              <w:bottom w:val="single" w:sz="8" w:space="0" w:color="auto"/>
              <w:right w:val="single" w:sz="8" w:space="0" w:color="auto"/>
            </w:tcBorders>
            <w:shd w:val="clear" w:color="000000" w:fill="FFFFFF"/>
            <w:noWrap/>
            <w:vAlign w:val="center"/>
            <w:hideMark/>
          </w:tcPr>
          <w:p w14:paraId="56E8B73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35685.84</w:t>
            </w:r>
          </w:p>
        </w:tc>
      </w:tr>
      <w:tr w:rsidR="004B3F57" w:rsidRPr="004B3F57" w14:paraId="1B77260F" w14:textId="77777777" w:rsidTr="004B3F57">
        <w:trPr>
          <w:trHeight w:val="402"/>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641200B"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Cash Outflows</w:t>
            </w:r>
          </w:p>
        </w:tc>
      </w:tr>
      <w:tr w:rsidR="004B3F57" w:rsidRPr="004B3F57" w14:paraId="649DE494" w14:textId="77777777" w:rsidTr="004B3F57">
        <w:trPr>
          <w:trHeight w:val="645"/>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4FBBBA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w:t>
            </w:r>
          </w:p>
        </w:tc>
        <w:tc>
          <w:tcPr>
            <w:tcW w:w="1780" w:type="pct"/>
            <w:tcBorders>
              <w:top w:val="nil"/>
              <w:left w:val="nil"/>
              <w:bottom w:val="single" w:sz="8" w:space="0" w:color="auto"/>
              <w:right w:val="single" w:sz="8" w:space="0" w:color="auto"/>
            </w:tcBorders>
            <w:shd w:val="clear" w:color="000000" w:fill="FFFFFF"/>
            <w:vAlign w:val="center"/>
            <w:hideMark/>
          </w:tcPr>
          <w:p w14:paraId="085BDED3"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Retail deposits and deposits from small business customers, of which</w:t>
            </w:r>
          </w:p>
        </w:tc>
        <w:tc>
          <w:tcPr>
            <w:tcW w:w="824" w:type="pct"/>
            <w:tcBorders>
              <w:top w:val="nil"/>
              <w:left w:val="nil"/>
              <w:bottom w:val="single" w:sz="8" w:space="0" w:color="auto"/>
              <w:right w:val="single" w:sz="8" w:space="0" w:color="auto"/>
            </w:tcBorders>
            <w:shd w:val="clear" w:color="000000" w:fill="FFFFFF"/>
            <w:noWrap/>
            <w:vAlign w:val="center"/>
            <w:hideMark/>
          </w:tcPr>
          <w:p w14:paraId="47800B9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107553.36</w:t>
            </w:r>
          </w:p>
        </w:tc>
        <w:tc>
          <w:tcPr>
            <w:tcW w:w="733" w:type="pct"/>
            <w:tcBorders>
              <w:top w:val="nil"/>
              <w:left w:val="nil"/>
              <w:bottom w:val="single" w:sz="8" w:space="0" w:color="auto"/>
              <w:right w:val="single" w:sz="8" w:space="0" w:color="auto"/>
            </w:tcBorders>
            <w:shd w:val="clear" w:color="000000" w:fill="FFFFFF"/>
            <w:noWrap/>
            <w:vAlign w:val="center"/>
            <w:hideMark/>
          </w:tcPr>
          <w:p w14:paraId="164A3A0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9006.99</w:t>
            </w:r>
          </w:p>
        </w:tc>
        <w:tc>
          <w:tcPr>
            <w:tcW w:w="666" w:type="pct"/>
            <w:tcBorders>
              <w:top w:val="nil"/>
              <w:left w:val="nil"/>
              <w:bottom w:val="single" w:sz="8" w:space="0" w:color="auto"/>
              <w:right w:val="single" w:sz="8" w:space="0" w:color="auto"/>
            </w:tcBorders>
            <w:shd w:val="clear" w:color="000000" w:fill="FFFFFF"/>
            <w:noWrap/>
            <w:vAlign w:val="center"/>
            <w:hideMark/>
          </w:tcPr>
          <w:p w14:paraId="38A1475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104246.24</w:t>
            </w:r>
          </w:p>
        </w:tc>
        <w:tc>
          <w:tcPr>
            <w:tcW w:w="774" w:type="pct"/>
            <w:tcBorders>
              <w:top w:val="nil"/>
              <w:left w:val="nil"/>
              <w:bottom w:val="single" w:sz="8" w:space="0" w:color="auto"/>
              <w:right w:val="single" w:sz="8" w:space="0" w:color="auto"/>
            </w:tcBorders>
            <w:shd w:val="clear" w:color="000000" w:fill="FFFFFF"/>
            <w:noWrap/>
            <w:vAlign w:val="center"/>
            <w:hideMark/>
          </w:tcPr>
          <w:p w14:paraId="1E3B50F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8483.76</w:t>
            </w:r>
          </w:p>
        </w:tc>
      </w:tr>
      <w:tr w:rsidR="004B3F57" w:rsidRPr="004B3F57" w14:paraId="52DBA99C"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1856DB3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w:t>
            </w:r>
            <w:proofErr w:type="spellStart"/>
            <w:r w:rsidRPr="004B3F57">
              <w:rPr>
                <w:rFonts w:ascii="Trebuchet MS" w:hAnsi="Trebuchet MS" w:cs="Calibri"/>
                <w:sz w:val="20"/>
                <w:szCs w:val="20"/>
              </w:rPr>
              <w:t>i</w:t>
            </w:r>
            <w:proofErr w:type="spellEnd"/>
            <w:r w:rsidRPr="004B3F57">
              <w:rPr>
                <w:rFonts w:ascii="Trebuchet MS" w:hAnsi="Trebuchet MS" w:cs="Calibri"/>
                <w:sz w:val="20"/>
                <w:szCs w:val="20"/>
              </w:rPr>
              <w:t>)</w:t>
            </w:r>
          </w:p>
        </w:tc>
        <w:tc>
          <w:tcPr>
            <w:tcW w:w="1780" w:type="pct"/>
            <w:tcBorders>
              <w:top w:val="nil"/>
              <w:left w:val="nil"/>
              <w:bottom w:val="single" w:sz="8" w:space="0" w:color="auto"/>
              <w:right w:val="single" w:sz="8" w:space="0" w:color="auto"/>
            </w:tcBorders>
            <w:shd w:val="clear" w:color="000000" w:fill="FFFFFF"/>
            <w:noWrap/>
            <w:vAlign w:val="center"/>
            <w:hideMark/>
          </w:tcPr>
          <w:p w14:paraId="57253BA0"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Stable deposits</w:t>
            </w:r>
          </w:p>
        </w:tc>
        <w:tc>
          <w:tcPr>
            <w:tcW w:w="824" w:type="pct"/>
            <w:tcBorders>
              <w:top w:val="nil"/>
              <w:left w:val="nil"/>
              <w:bottom w:val="single" w:sz="8" w:space="0" w:color="auto"/>
              <w:right w:val="single" w:sz="8" w:space="0" w:color="auto"/>
            </w:tcBorders>
            <w:shd w:val="clear" w:color="000000" w:fill="FFFFFF"/>
            <w:noWrap/>
            <w:vAlign w:val="center"/>
            <w:hideMark/>
          </w:tcPr>
          <w:p w14:paraId="4A6D571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34728.00</w:t>
            </w:r>
          </w:p>
        </w:tc>
        <w:tc>
          <w:tcPr>
            <w:tcW w:w="733" w:type="pct"/>
            <w:tcBorders>
              <w:top w:val="nil"/>
              <w:left w:val="nil"/>
              <w:bottom w:val="single" w:sz="8" w:space="0" w:color="auto"/>
              <w:right w:val="single" w:sz="8" w:space="0" w:color="auto"/>
            </w:tcBorders>
            <w:shd w:val="clear" w:color="000000" w:fill="FFFFFF"/>
            <w:noWrap/>
            <w:vAlign w:val="center"/>
            <w:hideMark/>
          </w:tcPr>
          <w:p w14:paraId="5FB40C9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1724.28</w:t>
            </w:r>
          </w:p>
        </w:tc>
        <w:tc>
          <w:tcPr>
            <w:tcW w:w="666" w:type="pct"/>
            <w:tcBorders>
              <w:top w:val="nil"/>
              <w:left w:val="nil"/>
              <w:bottom w:val="single" w:sz="8" w:space="0" w:color="auto"/>
              <w:right w:val="single" w:sz="8" w:space="0" w:color="auto"/>
            </w:tcBorders>
            <w:shd w:val="clear" w:color="000000" w:fill="FFFFFF"/>
            <w:noWrap/>
            <w:vAlign w:val="center"/>
            <w:hideMark/>
          </w:tcPr>
          <w:p w14:paraId="1954C06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39241.41</w:t>
            </w:r>
          </w:p>
        </w:tc>
        <w:tc>
          <w:tcPr>
            <w:tcW w:w="774" w:type="pct"/>
            <w:tcBorders>
              <w:top w:val="nil"/>
              <w:left w:val="nil"/>
              <w:bottom w:val="single" w:sz="8" w:space="0" w:color="auto"/>
              <w:right w:val="single" w:sz="8" w:space="0" w:color="auto"/>
            </w:tcBorders>
            <w:shd w:val="clear" w:color="000000" w:fill="FFFFFF"/>
            <w:noWrap/>
            <w:vAlign w:val="center"/>
            <w:hideMark/>
          </w:tcPr>
          <w:p w14:paraId="6365C8F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1962.07</w:t>
            </w:r>
          </w:p>
        </w:tc>
      </w:tr>
      <w:tr w:rsidR="004B3F57" w:rsidRPr="004B3F57" w14:paraId="179E1866"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5006A581"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(ii)</w:t>
            </w:r>
          </w:p>
        </w:tc>
        <w:tc>
          <w:tcPr>
            <w:tcW w:w="1780" w:type="pct"/>
            <w:tcBorders>
              <w:top w:val="nil"/>
              <w:left w:val="nil"/>
              <w:bottom w:val="single" w:sz="8" w:space="0" w:color="auto"/>
              <w:right w:val="single" w:sz="8" w:space="0" w:color="auto"/>
            </w:tcBorders>
            <w:shd w:val="clear" w:color="000000" w:fill="FFFFFF"/>
            <w:noWrap/>
            <w:vAlign w:val="center"/>
            <w:hideMark/>
          </w:tcPr>
          <w:p w14:paraId="2A082BEB"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Less stable deposits</w:t>
            </w:r>
          </w:p>
        </w:tc>
        <w:tc>
          <w:tcPr>
            <w:tcW w:w="824" w:type="pct"/>
            <w:tcBorders>
              <w:top w:val="nil"/>
              <w:left w:val="nil"/>
              <w:bottom w:val="single" w:sz="8" w:space="0" w:color="auto"/>
              <w:right w:val="single" w:sz="8" w:space="0" w:color="auto"/>
            </w:tcBorders>
            <w:shd w:val="clear" w:color="000000" w:fill="FFFFFF"/>
            <w:noWrap/>
            <w:vAlign w:val="center"/>
            <w:hideMark/>
          </w:tcPr>
          <w:p w14:paraId="168998F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72825.36</w:t>
            </w:r>
          </w:p>
        </w:tc>
        <w:tc>
          <w:tcPr>
            <w:tcW w:w="733" w:type="pct"/>
            <w:tcBorders>
              <w:top w:val="nil"/>
              <w:left w:val="nil"/>
              <w:bottom w:val="single" w:sz="8" w:space="0" w:color="auto"/>
              <w:right w:val="single" w:sz="8" w:space="0" w:color="auto"/>
            </w:tcBorders>
            <w:shd w:val="clear" w:color="000000" w:fill="FFFFFF"/>
            <w:noWrap/>
            <w:vAlign w:val="center"/>
            <w:hideMark/>
          </w:tcPr>
          <w:p w14:paraId="37BEC162"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7282.71</w:t>
            </w:r>
          </w:p>
        </w:tc>
        <w:tc>
          <w:tcPr>
            <w:tcW w:w="666" w:type="pct"/>
            <w:tcBorders>
              <w:top w:val="nil"/>
              <w:left w:val="nil"/>
              <w:bottom w:val="single" w:sz="8" w:space="0" w:color="auto"/>
              <w:right w:val="single" w:sz="8" w:space="0" w:color="auto"/>
            </w:tcBorders>
            <w:shd w:val="clear" w:color="000000" w:fill="FFFFFF"/>
            <w:noWrap/>
            <w:vAlign w:val="center"/>
            <w:hideMark/>
          </w:tcPr>
          <w:p w14:paraId="2C0D8B2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65004.83</w:t>
            </w:r>
          </w:p>
        </w:tc>
        <w:tc>
          <w:tcPr>
            <w:tcW w:w="774" w:type="pct"/>
            <w:tcBorders>
              <w:top w:val="nil"/>
              <w:left w:val="nil"/>
              <w:bottom w:val="single" w:sz="8" w:space="0" w:color="auto"/>
              <w:right w:val="single" w:sz="8" w:space="0" w:color="auto"/>
            </w:tcBorders>
            <w:shd w:val="clear" w:color="000000" w:fill="FFFFFF"/>
            <w:noWrap/>
            <w:vAlign w:val="center"/>
            <w:hideMark/>
          </w:tcPr>
          <w:p w14:paraId="1EA0BDC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6521.69</w:t>
            </w:r>
          </w:p>
        </w:tc>
      </w:tr>
      <w:tr w:rsidR="004B3F57" w:rsidRPr="004B3F57" w14:paraId="73AFF4CD"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271ABA01"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w:t>
            </w:r>
          </w:p>
        </w:tc>
        <w:tc>
          <w:tcPr>
            <w:tcW w:w="1780" w:type="pct"/>
            <w:tcBorders>
              <w:top w:val="nil"/>
              <w:left w:val="nil"/>
              <w:bottom w:val="single" w:sz="8" w:space="0" w:color="auto"/>
              <w:right w:val="single" w:sz="8" w:space="0" w:color="auto"/>
            </w:tcBorders>
            <w:shd w:val="clear" w:color="000000" w:fill="FFFFFF"/>
            <w:vAlign w:val="center"/>
            <w:hideMark/>
          </w:tcPr>
          <w:p w14:paraId="475E6DA3"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xml:space="preserve">Unsecured wholesale </w:t>
            </w:r>
            <w:proofErr w:type="gramStart"/>
            <w:r w:rsidRPr="004B3F57">
              <w:rPr>
                <w:rFonts w:ascii="Trebuchet MS" w:hAnsi="Trebuchet MS" w:cs="Calibri"/>
                <w:sz w:val="20"/>
                <w:szCs w:val="20"/>
              </w:rPr>
              <w:t>funding ,of</w:t>
            </w:r>
            <w:proofErr w:type="gramEnd"/>
            <w:r w:rsidRPr="004B3F57">
              <w:rPr>
                <w:rFonts w:ascii="Trebuchet MS" w:hAnsi="Trebuchet MS" w:cs="Calibri"/>
                <w:sz w:val="20"/>
                <w:szCs w:val="20"/>
              </w:rPr>
              <w:t xml:space="preserve"> which</w:t>
            </w:r>
          </w:p>
        </w:tc>
        <w:tc>
          <w:tcPr>
            <w:tcW w:w="824" w:type="pct"/>
            <w:tcBorders>
              <w:top w:val="nil"/>
              <w:left w:val="nil"/>
              <w:bottom w:val="single" w:sz="8" w:space="0" w:color="auto"/>
              <w:right w:val="single" w:sz="8" w:space="0" w:color="auto"/>
            </w:tcBorders>
            <w:shd w:val="clear" w:color="000000" w:fill="FFFFFF"/>
            <w:noWrap/>
            <w:vAlign w:val="center"/>
            <w:hideMark/>
          </w:tcPr>
          <w:p w14:paraId="0CA0E5A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35363.13</w:t>
            </w:r>
          </w:p>
        </w:tc>
        <w:tc>
          <w:tcPr>
            <w:tcW w:w="733" w:type="pct"/>
            <w:tcBorders>
              <w:top w:val="nil"/>
              <w:left w:val="nil"/>
              <w:bottom w:val="single" w:sz="8" w:space="0" w:color="auto"/>
              <w:right w:val="single" w:sz="8" w:space="0" w:color="auto"/>
            </w:tcBorders>
            <w:shd w:val="clear" w:color="000000" w:fill="FFFFFF"/>
            <w:noWrap/>
            <w:vAlign w:val="center"/>
            <w:hideMark/>
          </w:tcPr>
          <w:p w14:paraId="1397E11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18538.49</w:t>
            </w:r>
          </w:p>
        </w:tc>
        <w:tc>
          <w:tcPr>
            <w:tcW w:w="666" w:type="pct"/>
            <w:tcBorders>
              <w:top w:val="nil"/>
              <w:left w:val="nil"/>
              <w:bottom w:val="single" w:sz="8" w:space="0" w:color="auto"/>
              <w:right w:val="single" w:sz="8" w:space="0" w:color="auto"/>
            </w:tcBorders>
            <w:shd w:val="clear" w:color="000000" w:fill="FFFFFF"/>
            <w:noWrap/>
            <w:vAlign w:val="center"/>
            <w:hideMark/>
          </w:tcPr>
          <w:p w14:paraId="44A1D3A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34973.49</w:t>
            </w:r>
          </w:p>
        </w:tc>
        <w:tc>
          <w:tcPr>
            <w:tcW w:w="774" w:type="pct"/>
            <w:tcBorders>
              <w:top w:val="nil"/>
              <w:left w:val="nil"/>
              <w:bottom w:val="single" w:sz="8" w:space="0" w:color="auto"/>
              <w:right w:val="single" w:sz="8" w:space="0" w:color="auto"/>
            </w:tcBorders>
            <w:shd w:val="clear" w:color="000000" w:fill="FFFFFF"/>
            <w:noWrap/>
            <w:vAlign w:val="center"/>
            <w:hideMark/>
          </w:tcPr>
          <w:p w14:paraId="0F420B1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18635.65</w:t>
            </w:r>
          </w:p>
        </w:tc>
      </w:tr>
      <w:tr w:rsidR="004B3F57" w:rsidRPr="004B3F57" w14:paraId="10673514"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04F43F3"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w:t>
            </w:r>
            <w:proofErr w:type="spellStart"/>
            <w:r w:rsidRPr="004B3F57">
              <w:rPr>
                <w:rFonts w:ascii="Trebuchet MS" w:hAnsi="Trebuchet MS" w:cs="Calibri"/>
                <w:sz w:val="20"/>
                <w:szCs w:val="20"/>
              </w:rPr>
              <w:t>i</w:t>
            </w:r>
            <w:proofErr w:type="spellEnd"/>
            <w:r w:rsidRPr="004B3F57">
              <w:rPr>
                <w:rFonts w:ascii="Trebuchet MS" w:hAnsi="Trebuchet MS" w:cs="Calibri"/>
                <w:sz w:val="20"/>
                <w:szCs w:val="20"/>
              </w:rPr>
              <w:t>)</w:t>
            </w:r>
          </w:p>
        </w:tc>
        <w:tc>
          <w:tcPr>
            <w:tcW w:w="1780" w:type="pct"/>
            <w:tcBorders>
              <w:top w:val="nil"/>
              <w:left w:val="nil"/>
              <w:bottom w:val="single" w:sz="8" w:space="0" w:color="auto"/>
              <w:right w:val="single" w:sz="8" w:space="0" w:color="auto"/>
            </w:tcBorders>
            <w:shd w:val="clear" w:color="000000" w:fill="FFFFFF"/>
            <w:vAlign w:val="center"/>
            <w:hideMark/>
          </w:tcPr>
          <w:p w14:paraId="3BEE9546"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Operational Deposits (all counterparties)</w:t>
            </w:r>
          </w:p>
        </w:tc>
        <w:tc>
          <w:tcPr>
            <w:tcW w:w="824" w:type="pct"/>
            <w:tcBorders>
              <w:top w:val="nil"/>
              <w:left w:val="nil"/>
              <w:bottom w:val="single" w:sz="8" w:space="0" w:color="auto"/>
              <w:right w:val="single" w:sz="8" w:space="0" w:color="auto"/>
            </w:tcBorders>
            <w:shd w:val="clear" w:color="000000" w:fill="FFFFFF"/>
            <w:noWrap/>
            <w:vAlign w:val="center"/>
            <w:hideMark/>
          </w:tcPr>
          <w:p w14:paraId="4AE169A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449F39F5"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FFFFFF"/>
            <w:noWrap/>
            <w:vAlign w:val="center"/>
            <w:hideMark/>
          </w:tcPr>
          <w:p w14:paraId="2B7F435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4C48656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57AE5374" w14:textId="77777777" w:rsidTr="004B3F57">
        <w:trPr>
          <w:trHeight w:val="600"/>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626C022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(ii)</w:t>
            </w:r>
          </w:p>
        </w:tc>
        <w:tc>
          <w:tcPr>
            <w:tcW w:w="1780" w:type="pct"/>
            <w:tcBorders>
              <w:top w:val="nil"/>
              <w:left w:val="nil"/>
              <w:bottom w:val="single" w:sz="8" w:space="0" w:color="auto"/>
              <w:right w:val="single" w:sz="8" w:space="0" w:color="auto"/>
            </w:tcBorders>
            <w:shd w:val="clear" w:color="000000" w:fill="FFFFFF"/>
            <w:vAlign w:val="center"/>
            <w:hideMark/>
          </w:tcPr>
          <w:p w14:paraId="649A78DD"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xml:space="preserve">Non Operational deposits </w:t>
            </w:r>
            <w:proofErr w:type="gramStart"/>
            <w:r w:rsidRPr="004B3F57">
              <w:rPr>
                <w:rFonts w:ascii="Trebuchet MS" w:hAnsi="Trebuchet MS" w:cs="Calibri"/>
                <w:sz w:val="20"/>
                <w:szCs w:val="20"/>
              </w:rPr>
              <w:t>( all</w:t>
            </w:r>
            <w:proofErr w:type="gramEnd"/>
            <w:r w:rsidRPr="004B3F57">
              <w:rPr>
                <w:rFonts w:ascii="Trebuchet MS" w:hAnsi="Trebuchet MS" w:cs="Calibri"/>
                <w:sz w:val="20"/>
                <w:szCs w:val="20"/>
              </w:rPr>
              <w:t xml:space="preserve"> counterparties)</w:t>
            </w:r>
          </w:p>
        </w:tc>
        <w:tc>
          <w:tcPr>
            <w:tcW w:w="824" w:type="pct"/>
            <w:tcBorders>
              <w:top w:val="nil"/>
              <w:left w:val="nil"/>
              <w:bottom w:val="single" w:sz="8" w:space="0" w:color="auto"/>
              <w:right w:val="single" w:sz="8" w:space="0" w:color="auto"/>
            </w:tcBorders>
            <w:shd w:val="clear" w:color="000000" w:fill="FFFFFF"/>
            <w:noWrap/>
            <w:vAlign w:val="center"/>
            <w:hideMark/>
          </w:tcPr>
          <w:p w14:paraId="151B9E1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35363.13</w:t>
            </w:r>
          </w:p>
        </w:tc>
        <w:tc>
          <w:tcPr>
            <w:tcW w:w="733" w:type="pct"/>
            <w:tcBorders>
              <w:top w:val="nil"/>
              <w:left w:val="nil"/>
              <w:bottom w:val="single" w:sz="8" w:space="0" w:color="auto"/>
              <w:right w:val="single" w:sz="8" w:space="0" w:color="auto"/>
            </w:tcBorders>
            <w:shd w:val="clear" w:color="000000" w:fill="FFFFFF"/>
            <w:noWrap/>
            <w:vAlign w:val="center"/>
            <w:hideMark/>
          </w:tcPr>
          <w:p w14:paraId="5F8B953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18538.49</w:t>
            </w:r>
          </w:p>
        </w:tc>
        <w:tc>
          <w:tcPr>
            <w:tcW w:w="666" w:type="pct"/>
            <w:tcBorders>
              <w:top w:val="nil"/>
              <w:left w:val="nil"/>
              <w:bottom w:val="single" w:sz="8" w:space="0" w:color="auto"/>
              <w:right w:val="single" w:sz="8" w:space="0" w:color="auto"/>
            </w:tcBorders>
            <w:shd w:val="clear" w:color="000000" w:fill="FFFFFF"/>
            <w:noWrap/>
            <w:vAlign w:val="center"/>
            <w:hideMark/>
          </w:tcPr>
          <w:p w14:paraId="08E945A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34973.49</w:t>
            </w:r>
          </w:p>
        </w:tc>
        <w:tc>
          <w:tcPr>
            <w:tcW w:w="774" w:type="pct"/>
            <w:tcBorders>
              <w:top w:val="nil"/>
              <w:left w:val="nil"/>
              <w:bottom w:val="single" w:sz="8" w:space="0" w:color="auto"/>
              <w:right w:val="single" w:sz="8" w:space="0" w:color="auto"/>
            </w:tcBorders>
            <w:shd w:val="clear" w:color="000000" w:fill="FFFFFF"/>
            <w:noWrap/>
            <w:vAlign w:val="center"/>
            <w:hideMark/>
          </w:tcPr>
          <w:p w14:paraId="782251F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18635.65</w:t>
            </w:r>
          </w:p>
        </w:tc>
      </w:tr>
      <w:tr w:rsidR="004B3F57" w:rsidRPr="004B3F57" w14:paraId="4CC3AD58"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55C47F4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(iii)</w:t>
            </w:r>
          </w:p>
        </w:tc>
        <w:tc>
          <w:tcPr>
            <w:tcW w:w="1780" w:type="pct"/>
            <w:tcBorders>
              <w:top w:val="nil"/>
              <w:left w:val="nil"/>
              <w:bottom w:val="single" w:sz="8" w:space="0" w:color="auto"/>
              <w:right w:val="single" w:sz="8" w:space="0" w:color="auto"/>
            </w:tcBorders>
            <w:shd w:val="clear" w:color="000000" w:fill="FFFFFF"/>
            <w:noWrap/>
            <w:vAlign w:val="center"/>
            <w:hideMark/>
          </w:tcPr>
          <w:p w14:paraId="6E5497F8"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Unsecured debt</w:t>
            </w:r>
          </w:p>
        </w:tc>
        <w:tc>
          <w:tcPr>
            <w:tcW w:w="824" w:type="pct"/>
            <w:tcBorders>
              <w:top w:val="nil"/>
              <w:left w:val="nil"/>
              <w:bottom w:val="single" w:sz="8" w:space="0" w:color="auto"/>
              <w:right w:val="single" w:sz="8" w:space="0" w:color="auto"/>
            </w:tcBorders>
            <w:shd w:val="clear" w:color="000000" w:fill="FFFFFF"/>
            <w:noWrap/>
            <w:vAlign w:val="center"/>
            <w:hideMark/>
          </w:tcPr>
          <w:p w14:paraId="3E56ED9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27E6AF3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FFFFFF"/>
            <w:noWrap/>
            <w:vAlign w:val="center"/>
            <w:hideMark/>
          </w:tcPr>
          <w:p w14:paraId="57DCFBF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53BB1FE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03AA7417"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09DDED4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4</w:t>
            </w:r>
          </w:p>
        </w:tc>
        <w:tc>
          <w:tcPr>
            <w:tcW w:w="1780" w:type="pct"/>
            <w:tcBorders>
              <w:top w:val="nil"/>
              <w:left w:val="nil"/>
              <w:bottom w:val="single" w:sz="8" w:space="0" w:color="auto"/>
              <w:right w:val="single" w:sz="8" w:space="0" w:color="auto"/>
            </w:tcBorders>
            <w:shd w:val="clear" w:color="000000" w:fill="FFFFFF"/>
            <w:vAlign w:val="center"/>
            <w:hideMark/>
          </w:tcPr>
          <w:p w14:paraId="21E55EC5"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Secured Wholesale funding</w:t>
            </w:r>
          </w:p>
        </w:tc>
        <w:tc>
          <w:tcPr>
            <w:tcW w:w="824" w:type="pct"/>
            <w:tcBorders>
              <w:top w:val="nil"/>
              <w:left w:val="nil"/>
              <w:bottom w:val="single" w:sz="8" w:space="0" w:color="auto"/>
              <w:right w:val="single" w:sz="8" w:space="0" w:color="auto"/>
            </w:tcBorders>
            <w:shd w:val="clear" w:color="000000" w:fill="000000"/>
            <w:noWrap/>
            <w:vAlign w:val="center"/>
            <w:hideMark/>
          </w:tcPr>
          <w:p w14:paraId="77715D1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530D3E0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000000"/>
            <w:noWrap/>
            <w:vAlign w:val="center"/>
            <w:hideMark/>
          </w:tcPr>
          <w:p w14:paraId="3E118A5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41F5898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201FEEC5"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3D343A9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5</w:t>
            </w:r>
          </w:p>
        </w:tc>
        <w:tc>
          <w:tcPr>
            <w:tcW w:w="1780" w:type="pct"/>
            <w:tcBorders>
              <w:top w:val="nil"/>
              <w:left w:val="nil"/>
              <w:bottom w:val="single" w:sz="8" w:space="0" w:color="auto"/>
              <w:right w:val="single" w:sz="8" w:space="0" w:color="auto"/>
            </w:tcBorders>
            <w:shd w:val="clear" w:color="000000" w:fill="FFFFFF"/>
            <w:vAlign w:val="center"/>
            <w:hideMark/>
          </w:tcPr>
          <w:p w14:paraId="17B9BC4F"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Additional requirements of which</w:t>
            </w:r>
          </w:p>
        </w:tc>
        <w:tc>
          <w:tcPr>
            <w:tcW w:w="824" w:type="pct"/>
            <w:tcBorders>
              <w:top w:val="nil"/>
              <w:left w:val="nil"/>
              <w:bottom w:val="single" w:sz="8" w:space="0" w:color="auto"/>
              <w:right w:val="single" w:sz="8" w:space="0" w:color="auto"/>
            </w:tcBorders>
            <w:shd w:val="clear" w:color="000000" w:fill="FFFFFF"/>
            <w:noWrap/>
            <w:vAlign w:val="center"/>
            <w:hideMark/>
          </w:tcPr>
          <w:p w14:paraId="4B79CE4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89.43</w:t>
            </w:r>
          </w:p>
        </w:tc>
        <w:tc>
          <w:tcPr>
            <w:tcW w:w="733" w:type="pct"/>
            <w:tcBorders>
              <w:top w:val="nil"/>
              <w:left w:val="nil"/>
              <w:bottom w:val="single" w:sz="8" w:space="0" w:color="auto"/>
              <w:right w:val="single" w:sz="8" w:space="0" w:color="auto"/>
            </w:tcBorders>
            <w:shd w:val="clear" w:color="000000" w:fill="FFFFFF"/>
            <w:noWrap/>
            <w:vAlign w:val="center"/>
            <w:hideMark/>
          </w:tcPr>
          <w:p w14:paraId="1AEC7B9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89.43</w:t>
            </w:r>
          </w:p>
        </w:tc>
        <w:tc>
          <w:tcPr>
            <w:tcW w:w="666" w:type="pct"/>
            <w:tcBorders>
              <w:top w:val="nil"/>
              <w:left w:val="nil"/>
              <w:bottom w:val="single" w:sz="8" w:space="0" w:color="auto"/>
              <w:right w:val="single" w:sz="8" w:space="0" w:color="auto"/>
            </w:tcBorders>
            <w:shd w:val="clear" w:color="000000" w:fill="FFFFFF"/>
            <w:noWrap/>
            <w:vAlign w:val="center"/>
            <w:hideMark/>
          </w:tcPr>
          <w:p w14:paraId="7D4E80A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66.46</w:t>
            </w:r>
          </w:p>
        </w:tc>
        <w:tc>
          <w:tcPr>
            <w:tcW w:w="774" w:type="pct"/>
            <w:tcBorders>
              <w:top w:val="nil"/>
              <w:left w:val="nil"/>
              <w:bottom w:val="single" w:sz="8" w:space="0" w:color="auto"/>
              <w:right w:val="single" w:sz="8" w:space="0" w:color="auto"/>
            </w:tcBorders>
            <w:shd w:val="clear" w:color="000000" w:fill="FFFFFF"/>
            <w:noWrap/>
            <w:vAlign w:val="center"/>
            <w:hideMark/>
          </w:tcPr>
          <w:p w14:paraId="47ABAD3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66.46</w:t>
            </w:r>
          </w:p>
        </w:tc>
      </w:tr>
      <w:tr w:rsidR="004B3F57" w:rsidRPr="004B3F57" w14:paraId="63126176" w14:textId="77777777" w:rsidTr="004B3F57">
        <w:trPr>
          <w:trHeight w:val="585"/>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0417B75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w:t>
            </w:r>
            <w:proofErr w:type="spellStart"/>
            <w:r w:rsidRPr="004B3F57">
              <w:rPr>
                <w:rFonts w:ascii="Trebuchet MS" w:hAnsi="Trebuchet MS" w:cs="Calibri"/>
                <w:sz w:val="20"/>
                <w:szCs w:val="20"/>
              </w:rPr>
              <w:t>i</w:t>
            </w:r>
            <w:proofErr w:type="spellEnd"/>
            <w:r w:rsidRPr="004B3F57">
              <w:rPr>
                <w:rFonts w:ascii="Trebuchet MS" w:hAnsi="Trebuchet MS" w:cs="Calibri"/>
                <w:sz w:val="20"/>
                <w:szCs w:val="20"/>
              </w:rPr>
              <w:t>)</w:t>
            </w:r>
          </w:p>
        </w:tc>
        <w:tc>
          <w:tcPr>
            <w:tcW w:w="1780" w:type="pct"/>
            <w:tcBorders>
              <w:top w:val="nil"/>
              <w:left w:val="nil"/>
              <w:bottom w:val="single" w:sz="8" w:space="0" w:color="auto"/>
              <w:right w:val="single" w:sz="8" w:space="0" w:color="auto"/>
            </w:tcBorders>
            <w:shd w:val="clear" w:color="000000" w:fill="FFFFFF"/>
            <w:vAlign w:val="center"/>
            <w:hideMark/>
          </w:tcPr>
          <w:p w14:paraId="1CE21C51"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Outflows related to derivative exposure and other collateral requirements</w:t>
            </w:r>
          </w:p>
        </w:tc>
        <w:tc>
          <w:tcPr>
            <w:tcW w:w="824" w:type="pct"/>
            <w:tcBorders>
              <w:top w:val="nil"/>
              <w:left w:val="nil"/>
              <w:bottom w:val="single" w:sz="8" w:space="0" w:color="auto"/>
              <w:right w:val="single" w:sz="8" w:space="0" w:color="auto"/>
            </w:tcBorders>
            <w:shd w:val="clear" w:color="000000" w:fill="FFFFFF"/>
            <w:noWrap/>
            <w:vAlign w:val="center"/>
            <w:hideMark/>
          </w:tcPr>
          <w:p w14:paraId="2965056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89.43</w:t>
            </w:r>
          </w:p>
        </w:tc>
        <w:tc>
          <w:tcPr>
            <w:tcW w:w="733" w:type="pct"/>
            <w:tcBorders>
              <w:top w:val="nil"/>
              <w:left w:val="nil"/>
              <w:bottom w:val="single" w:sz="8" w:space="0" w:color="auto"/>
              <w:right w:val="single" w:sz="8" w:space="0" w:color="auto"/>
            </w:tcBorders>
            <w:shd w:val="clear" w:color="000000" w:fill="FFFFFF"/>
            <w:noWrap/>
            <w:vAlign w:val="center"/>
            <w:hideMark/>
          </w:tcPr>
          <w:p w14:paraId="238C0553"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89.43</w:t>
            </w:r>
          </w:p>
        </w:tc>
        <w:tc>
          <w:tcPr>
            <w:tcW w:w="666" w:type="pct"/>
            <w:tcBorders>
              <w:top w:val="nil"/>
              <w:left w:val="nil"/>
              <w:bottom w:val="single" w:sz="8" w:space="0" w:color="auto"/>
              <w:right w:val="single" w:sz="8" w:space="0" w:color="auto"/>
            </w:tcBorders>
            <w:shd w:val="clear" w:color="000000" w:fill="FFFFFF"/>
            <w:noWrap/>
            <w:vAlign w:val="center"/>
            <w:hideMark/>
          </w:tcPr>
          <w:p w14:paraId="4DB505A3"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66.46</w:t>
            </w:r>
          </w:p>
        </w:tc>
        <w:tc>
          <w:tcPr>
            <w:tcW w:w="774" w:type="pct"/>
            <w:tcBorders>
              <w:top w:val="nil"/>
              <w:left w:val="nil"/>
              <w:bottom w:val="single" w:sz="8" w:space="0" w:color="auto"/>
              <w:right w:val="single" w:sz="8" w:space="0" w:color="auto"/>
            </w:tcBorders>
            <w:shd w:val="clear" w:color="000000" w:fill="FFFFFF"/>
            <w:noWrap/>
            <w:vAlign w:val="center"/>
            <w:hideMark/>
          </w:tcPr>
          <w:p w14:paraId="34A618C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66.46</w:t>
            </w:r>
          </w:p>
        </w:tc>
      </w:tr>
      <w:tr w:rsidR="004B3F57" w:rsidRPr="004B3F57" w14:paraId="314AAF35" w14:textId="77777777" w:rsidTr="004B3F57">
        <w:trPr>
          <w:trHeight w:val="585"/>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5331E8C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(ii)</w:t>
            </w:r>
          </w:p>
        </w:tc>
        <w:tc>
          <w:tcPr>
            <w:tcW w:w="1780" w:type="pct"/>
            <w:tcBorders>
              <w:top w:val="nil"/>
              <w:left w:val="nil"/>
              <w:bottom w:val="single" w:sz="8" w:space="0" w:color="auto"/>
              <w:right w:val="single" w:sz="8" w:space="0" w:color="auto"/>
            </w:tcBorders>
            <w:shd w:val="clear" w:color="000000" w:fill="FFFFFF"/>
            <w:vAlign w:val="center"/>
            <w:hideMark/>
          </w:tcPr>
          <w:p w14:paraId="3CBBC5E7"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outflows related to loss of funding on debt products</w:t>
            </w:r>
          </w:p>
        </w:tc>
        <w:tc>
          <w:tcPr>
            <w:tcW w:w="824" w:type="pct"/>
            <w:tcBorders>
              <w:top w:val="nil"/>
              <w:left w:val="nil"/>
              <w:bottom w:val="single" w:sz="8" w:space="0" w:color="auto"/>
              <w:right w:val="single" w:sz="8" w:space="0" w:color="auto"/>
            </w:tcBorders>
            <w:shd w:val="clear" w:color="000000" w:fill="FFFFFF"/>
            <w:noWrap/>
            <w:vAlign w:val="center"/>
            <w:hideMark/>
          </w:tcPr>
          <w:p w14:paraId="0AA3FDD2"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504D1F0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FFFFFF"/>
            <w:noWrap/>
            <w:vAlign w:val="center"/>
            <w:hideMark/>
          </w:tcPr>
          <w:p w14:paraId="39AC432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209939C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56B08783"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19306045"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lastRenderedPageBreak/>
              <w:t>(iii)</w:t>
            </w:r>
          </w:p>
        </w:tc>
        <w:tc>
          <w:tcPr>
            <w:tcW w:w="1780" w:type="pct"/>
            <w:tcBorders>
              <w:top w:val="nil"/>
              <w:left w:val="nil"/>
              <w:bottom w:val="single" w:sz="8" w:space="0" w:color="auto"/>
              <w:right w:val="single" w:sz="8" w:space="0" w:color="auto"/>
            </w:tcBorders>
            <w:shd w:val="clear" w:color="000000" w:fill="FFFFFF"/>
            <w:vAlign w:val="center"/>
            <w:hideMark/>
          </w:tcPr>
          <w:p w14:paraId="6FE9ECA3"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credit and liquidity facilities</w:t>
            </w:r>
          </w:p>
        </w:tc>
        <w:tc>
          <w:tcPr>
            <w:tcW w:w="824" w:type="pct"/>
            <w:tcBorders>
              <w:top w:val="nil"/>
              <w:left w:val="nil"/>
              <w:bottom w:val="single" w:sz="8" w:space="0" w:color="auto"/>
              <w:right w:val="single" w:sz="8" w:space="0" w:color="auto"/>
            </w:tcBorders>
            <w:shd w:val="clear" w:color="000000" w:fill="FFFFFF"/>
            <w:noWrap/>
            <w:vAlign w:val="center"/>
            <w:hideMark/>
          </w:tcPr>
          <w:p w14:paraId="7C28248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2B0EE81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FFFFFF"/>
            <w:noWrap/>
            <w:vAlign w:val="center"/>
            <w:hideMark/>
          </w:tcPr>
          <w:p w14:paraId="75EAEDC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50B1F92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3A916D6B"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D4BA2D4"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w:t>
            </w:r>
          </w:p>
        </w:tc>
        <w:tc>
          <w:tcPr>
            <w:tcW w:w="1780" w:type="pct"/>
            <w:tcBorders>
              <w:top w:val="nil"/>
              <w:left w:val="nil"/>
              <w:bottom w:val="single" w:sz="8" w:space="0" w:color="auto"/>
              <w:right w:val="single" w:sz="8" w:space="0" w:color="auto"/>
            </w:tcBorders>
            <w:shd w:val="clear" w:color="000000" w:fill="FFFFFF"/>
            <w:vAlign w:val="center"/>
            <w:hideMark/>
          </w:tcPr>
          <w:p w14:paraId="69B26A9E"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Other contractual funding Obligations</w:t>
            </w:r>
          </w:p>
        </w:tc>
        <w:tc>
          <w:tcPr>
            <w:tcW w:w="824" w:type="pct"/>
            <w:tcBorders>
              <w:top w:val="nil"/>
              <w:left w:val="nil"/>
              <w:bottom w:val="single" w:sz="8" w:space="0" w:color="auto"/>
              <w:right w:val="single" w:sz="8" w:space="0" w:color="auto"/>
            </w:tcBorders>
            <w:shd w:val="clear" w:color="000000" w:fill="FFFFFF"/>
            <w:noWrap/>
            <w:vAlign w:val="center"/>
            <w:hideMark/>
          </w:tcPr>
          <w:p w14:paraId="7CB113C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9231.29</w:t>
            </w:r>
          </w:p>
        </w:tc>
        <w:tc>
          <w:tcPr>
            <w:tcW w:w="733" w:type="pct"/>
            <w:tcBorders>
              <w:top w:val="nil"/>
              <w:left w:val="nil"/>
              <w:bottom w:val="single" w:sz="8" w:space="0" w:color="auto"/>
              <w:right w:val="single" w:sz="8" w:space="0" w:color="auto"/>
            </w:tcBorders>
            <w:shd w:val="clear" w:color="000000" w:fill="FFFFFF"/>
            <w:noWrap/>
            <w:vAlign w:val="center"/>
            <w:hideMark/>
          </w:tcPr>
          <w:p w14:paraId="3051889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986.88</w:t>
            </w:r>
          </w:p>
        </w:tc>
        <w:tc>
          <w:tcPr>
            <w:tcW w:w="666" w:type="pct"/>
            <w:tcBorders>
              <w:top w:val="nil"/>
              <w:left w:val="nil"/>
              <w:bottom w:val="single" w:sz="8" w:space="0" w:color="auto"/>
              <w:right w:val="single" w:sz="8" w:space="0" w:color="auto"/>
            </w:tcBorders>
            <w:shd w:val="clear" w:color="000000" w:fill="FFFFFF"/>
            <w:noWrap/>
            <w:vAlign w:val="center"/>
            <w:hideMark/>
          </w:tcPr>
          <w:p w14:paraId="42F2296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9061.34</w:t>
            </w:r>
          </w:p>
        </w:tc>
        <w:tc>
          <w:tcPr>
            <w:tcW w:w="774" w:type="pct"/>
            <w:tcBorders>
              <w:top w:val="nil"/>
              <w:left w:val="nil"/>
              <w:bottom w:val="single" w:sz="8" w:space="0" w:color="auto"/>
              <w:right w:val="single" w:sz="8" w:space="0" w:color="auto"/>
            </w:tcBorders>
            <w:shd w:val="clear" w:color="000000" w:fill="FFFFFF"/>
            <w:noWrap/>
            <w:vAlign w:val="center"/>
            <w:hideMark/>
          </w:tcPr>
          <w:p w14:paraId="5F2C1E4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943.98</w:t>
            </w:r>
          </w:p>
        </w:tc>
      </w:tr>
      <w:tr w:rsidR="004B3F57" w:rsidRPr="004B3F57" w14:paraId="231C8DC0"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781F787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w:t>
            </w:r>
          </w:p>
        </w:tc>
        <w:tc>
          <w:tcPr>
            <w:tcW w:w="1780" w:type="pct"/>
            <w:tcBorders>
              <w:top w:val="nil"/>
              <w:left w:val="nil"/>
              <w:bottom w:val="single" w:sz="8" w:space="0" w:color="auto"/>
              <w:right w:val="single" w:sz="8" w:space="0" w:color="auto"/>
            </w:tcBorders>
            <w:shd w:val="clear" w:color="000000" w:fill="FFFFFF"/>
            <w:vAlign w:val="center"/>
            <w:hideMark/>
          </w:tcPr>
          <w:p w14:paraId="6A5E2C59"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Other contingent funding Obligations</w:t>
            </w:r>
          </w:p>
        </w:tc>
        <w:tc>
          <w:tcPr>
            <w:tcW w:w="824" w:type="pct"/>
            <w:tcBorders>
              <w:top w:val="nil"/>
              <w:left w:val="nil"/>
              <w:bottom w:val="single" w:sz="8" w:space="0" w:color="auto"/>
              <w:right w:val="single" w:sz="8" w:space="0" w:color="auto"/>
            </w:tcBorders>
            <w:shd w:val="clear" w:color="000000" w:fill="FFFFFF"/>
            <w:noWrap/>
            <w:vAlign w:val="center"/>
            <w:hideMark/>
          </w:tcPr>
          <w:p w14:paraId="39D8438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5260.00</w:t>
            </w:r>
          </w:p>
        </w:tc>
        <w:tc>
          <w:tcPr>
            <w:tcW w:w="733" w:type="pct"/>
            <w:tcBorders>
              <w:top w:val="nil"/>
              <w:left w:val="nil"/>
              <w:bottom w:val="single" w:sz="8" w:space="0" w:color="auto"/>
              <w:right w:val="single" w:sz="8" w:space="0" w:color="auto"/>
            </w:tcBorders>
            <w:shd w:val="clear" w:color="000000" w:fill="FFFFFF"/>
            <w:noWrap/>
            <w:vAlign w:val="center"/>
            <w:hideMark/>
          </w:tcPr>
          <w:p w14:paraId="38A43D4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459.78</w:t>
            </w:r>
          </w:p>
        </w:tc>
        <w:tc>
          <w:tcPr>
            <w:tcW w:w="666" w:type="pct"/>
            <w:tcBorders>
              <w:top w:val="nil"/>
              <w:left w:val="nil"/>
              <w:bottom w:val="single" w:sz="8" w:space="0" w:color="auto"/>
              <w:right w:val="single" w:sz="8" w:space="0" w:color="auto"/>
            </w:tcBorders>
            <w:shd w:val="clear" w:color="000000" w:fill="FFFFFF"/>
            <w:noWrap/>
            <w:vAlign w:val="center"/>
            <w:hideMark/>
          </w:tcPr>
          <w:p w14:paraId="0FD0C55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7059.86</w:t>
            </w:r>
          </w:p>
        </w:tc>
        <w:tc>
          <w:tcPr>
            <w:tcW w:w="774" w:type="pct"/>
            <w:tcBorders>
              <w:top w:val="nil"/>
              <w:left w:val="nil"/>
              <w:bottom w:val="single" w:sz="8" w:space="0" w:color="auto"/>
              <w:right w:val="single" w:sz="8" w:space="0" w:color="auto"/>
            </w:tcBorders>
            <w:shd w:val="clear" w:color="000000" w:fill="FFFFFF"/>
            <w:noWrap/>
            <w:vAlign w:val="center"/>
            <w:hideMark/>
          </w:tcPr>
          <w:p w14:paraId="572E37B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729.55</w:t>
            </w:r>
          </w:p>
        </w:tc>
      </w:tr>
      <w:tr w:rsidR="004B3F57" w:rsidRPr="004B3F57" w14:paraId="3F253E97"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1976B48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8</w:t>
            </w:r>
          </w:p>
        </w:tc>
        <w:tc>
          <w:tcPr>
            <w:tcW w:w="1780" w:type="pct"/>
            <w:tcBorders>
              <w:top w:val="nil"/>
              <w:left w:val="nil"/>
              <w:bottom w:val="single" w:sz="8" w:space="0" w:color="auto"/>
              <w:right w:val="single" w:sz="8" w:space="0" w:color="auto"/>
            </w:tcBorders>
            <w:shd w:val="clear" w:color="000000" w:fill="FFFFFF"/>
            <w:vAlign w:val="center"/>
            <w:hideMark/>
          </w:tcPr>
          <w:p w14:paraId="79F948BB"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Total cash outflows</w:t>
            </w:r>
          </w:p>
        </w:tc>
        <w:tc>
          <w:tcPr>
            <w:tcW w:w="824" w:type="pct"/>
            <w:tcBorders>
              <w:top w:val="nil"/>
              <w:left w:val="nil"/>
              <w:bottom w:val="single" w:sz="8" w:space="0" w:color="auto"/>
              <w:right w:val="single" w:sz="8" w:space="0" w:color="auto"/>
            </w:tcBorders>
            <w:shd w:val="clear" w:color="000000" w:fill="000000"/>
            <w:noWrap/>
            <w:vAlign w:val="center"/>
            <w:hideMark/>
          </w:tcPr>
          <w:p w14:paraId="6B682105"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157497.21</w:t>
            </w:r>
          </w:p>
        </w:tc>
        <w:tc>
          <w:tcPr>
            <w:tcW w:w="733" w:type="pct"/>
            <w:tcBorders>
              <w:top w:val="nil"/>
              <w:left w:val="nil"/>
              <w:bottom w:val="single" w:sz="8" w:space="0" w:color="auto"/>
              <w:right w:val="single" w:sz="8" w:space="0" w:color="auto"/>
            </w:tcBorders>
            <w:shd w:val="clear" w:color="000000" w:fill="FFFFFF"/>
            <w:noWrap/>
            <w:vAlign w:val="center"/>
            <w:hideMark/>
          </w:tcPr>
          <w:p w14:paraId="14C7BD0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29081.57</w:t>
            </w:r>
          </w:p>
        </w:tc>
        <w:tc>
          <w:tcPr>
            <w:tcW w:w="666" w:type="pct"/>
            <w:tcBorders>
              <w:top w:val="nil"/>
              <w:left w:val="nil"/>
              <w:bottom w:val="single" w:sz="8" w:space="0" w:color="auto"/>
              <w:right w:val="single" w:sz="8" w:space="0" w:color="auto"/>
            </w:tcBorders>
            <w:shd w:val="clear" w:color="000000" w:fill="000000"/>
            <w:noWrap/>
            <w:vAlign w:val="center"/>
            <w:hideMark/>
          </w:tcPr>
          <w:p w14:paraId="4DAB3A9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155407.39</w:t>
            </w:r>
          </w:p>
        </w:tc>
        <w:tc>
          <w:tcPr>
            <w:tcW w:w="774" w:type="pct"/>
            <w:tcBorders>
              <w:top w:val="nil"/>
              <w:left w:val="nil"/>
              <w:bottom w:val="single" w:sz="8" w:space="0" w:color="auto"/>
              <w:right w:val="single" w:sz="8" w:space="0" w:color="auto"/>
            </w:tcBorders>
            <w:shd w:val="clear" w:color="000000" w:fill="FFFFFF"/>
            <w:noWrap/>
            <w:vAlign w:val="center"/>
            <w:hideMark/>
          </w:tcPr>
          <w:p w14:paraId="3CF286A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28859.40</w:t>
            </w:r>
          </w:p>
        </w:tc>
      </w:tr>
      <w:tr w:rsidR="004B3F57" w:rsidRPr="004B3F57" w14:paraId="0E1C7602" w14:textId="77777777" w:rsidTr="004B3F57">
        <w:trPr>
          <w:trHeight w:val="402"/>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2DEF2FC"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Cash Inflows</w:t>
            </w:r>
          </w:p>
        </w:tc>
      </w:tr>
      <w:tr w:rsidR="004B3F57" w:rsidRPr="004B3F57" w14:paraId="604746F0"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74E7D0A3"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w:t>
            </w:r>
          </w:p>
        </w:tc>
        <w:tc>
          <w:tcPr>
            <w:tcW w:w="1780" w:type="pct"/>
            <w:tcBorders>
              <w:top w:val="nil"/>
              <w:left w:val="nil"/>
              <w:bottom w:val="single" w:sz="8" w:space="0" w:color="auto"/>
              <w:right w:val="single" w:sz="8" w:space="0" w:color="auto"/>
            </w:tcBorders>
            <w:shd w:val="clear" w:color="000000" w:fill="FFFFFF"/>
            <w:vAlign w:val="center"/>
            <w:hideMark/>
          </w:tcPr>
          <w:p w14:paraId="7C3BF9F8"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secured Lending (</w:t>
            </w:r>
            <w:proofErr w:type="gramStart"/>
            <w:r w:rsidRPr="004B3F57">
              <w:rPr>
                <w:rFonts w:ascii="Trebuchet MS" w:hAnsi="Trebuchet MS" w:cs="Calibri"/>
                <w:sz w:val="20"/>
                <w:szCs w:val="20"/>
              </w:rPr>
              <w:t>e.g.</w:t>
            </w:r>
            <w:proofErr w:type="gramEnd"/>
            <w:r w:rsidRPr="004B3F57">
              <w:rPr>
                <w:rFonts w:ascii="Trebuchet MS" w:hAnsi="Trebuchet MS" w:cs="Calibri"/>
                <w:sz w:val="20"/>
                <w:szCs w:val="20"/>
              </w:rPr>
              <w:t xml:space="preserve"> reverse repo)</w:t>
            </w:r>
          </w:p>
        </w:tc>
        <w:tc>
          <w:tcPr>
            <w:tcW w:w="824" w:type="pct"/>
            <w:tcBorders>
              <w:top w:val="nil"/>
              <w:left w:val="nil"/>
              <w:bottom w:val="single" w:sz="8" w:space="0" w:color="auto"/>
              <w:right w:val="single" w:sz="8" w:space="0" w:color="auto"/>
            </w:tcBorders>
            <w:shd w:val="clear" w:color="000000" w:fill="FFFFFF"/>
            <w:noWrap/>
            <w:vAlign w:val="center"/>
            <w:hideMark/>
          </w:tcPr>
          <w:p w14:paraId="23F18992"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33" w:type="pct"/>
            <w:tcBorders>
              <w:top w:val="nil"/>
              <w:left w:val="nil"/>
              <w:bottom w:val="single" w:sz="8" w:space="0" w:color="auto"/>
              <w:right w:val="single" w:sz="8" w:space="0" w:color="auto"/>
            </w:tcBorders>
            <w:shd w:val="clear" w:color="000000" w:fill="FFFFFF"/>
            <w:noWrap/>
            <w:vAlign w:val="center"/>
            <w:hideMark/>
          </w:tcPr>
          <w:p w14:paraId="04375DD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666" w:type="pct"/>
            <w:tcBorders>
              <w:top w:val="nil"/>
              <w:left w:val="nil"/>
              <w:bottom w:val="single" w:sz="8" w:space="0" w:color="auto"/>
              <w:right w:val="single" w:sz="8" w:space="0" w:color="auto"/>
            </w:tcBorders>
            <w:shd w:val="clear" w:color="000000" w:fill="FFFFFF"/>
            <w:noWrap/>
            <w:vAlign w:val="center"/>
            <w:hideMark/>
          </w:tcPr>
          <w:p w14:paraId="5B18A71F"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c>
          <w:tcPr>
            <w:tcW w:w="774" w:type="pct"/>
            <w:tcBorders>
              <w:top w:val="nil"/>
              <w:left w:val="nil"/>
              <w:bottom w:val="single" w:sz="8" w:space="0" w:color="auto"/>
              <w:right w:val="single" w:sz="8" w:space="0" w:color="auto"/>
            </w:tcBorders>
            <w:shd w:val="clear" w:color="000000" w:fill="FFFFFF"/>
            <w:noWrap/>
            <w:vAlign w:val="center"/>
            <w:hideMark/>
          </w:tcPr>
          <w:p w14:paraId="5BD0472C"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0.00</w:t>
            </w:r>
          </w:p>
        </w:tc>
      </w:tr>
      <w:tr w:rsidR="004B3F57" w:rsidRPr="004B3F57" w14:paraId="05517856"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29794AD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10</w:t>
            </w:r>
          </w:p>
        </w:tc>
        <w:tc>
          <w:tcPr>
            <w:tcW w:w="1780" w:type="pct"/>
            <w:tcBorders>
              <w:top w:val="nil"/>
              <w:left w:val="nil"/>
              <w:bottom w:val="single" w:sz="8" w:space="0" w:color="auto"/>
              <w:right w:val="single" w:sz="8" w:space="0" w:color="auto"/>
            </w:tcBorders>
            <w:shd w:val="clear" w:color="000000" w:fill="FFFFFF"/>
            <w:vAlign w:val="center"/>
            <w:hideMark/>
          </w:tcPr>
          <w:p w14:paraId="2D39ECC8"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Inflows from fully performing exposure</w:t>
            </w:r>
          </w:p>
        </w:tc>
        <w:tc>
          <w:tcPr>
            <w:tcW w:w="824" w:type="pct"/>
            <w:tcBorders>
              <w:top w:val="nil"/>
              <w:left w:val="nil"/>
              <w:bottom w:val="single" w:sz="8" w:space="0" w:color="auto"/>
              <w:right w:val="single" w:sz="8" w:space="0" w:color="auto"/>
            </w:tcBorders>
            <w:shd w:val="clear" w:color="000000" w:fill="FFFFFF"/>
            <w:noWrap/>
            <w:vAlign w:val="center"/>
            <w:hideMark/>
          </w:tcPr>
          <w:p w14:paraId="223D8F1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1143.27</w:t>
            </w:r>
          </w:p>
        </w:tc>
        <w:tc>
          <w:tcPr>
            <w:tcW w:w="733" w:type="pct"/>
            <w:tcBorders>
              <w:top w:val="nil"/>
              <w:left w:val="nil"/>
              <w:bottom w:val="single" w:sz="8" w:space="0" w:color="auto"/>
              <w:right w:val="single" w:sz="8" w:space="0" w:color="auto"/>
            </w:tcBorders>
            <w:shd w:val="clear" w:color="000000" w:fill="FFFFFF"/>
            <w:noWrap/>
            <w:vAlign w:val="center"/>
            <w:hideMark/>
          </w:tcPr>
          <w:p w14:paraId="2EA76EC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702.02</w:t>
            </w:r>
          </w:p>
        </w:tc>
        <w:tc>
          <w:tcPr>
            <w:tcW w:w="666" w:type="pct"/>
            <w:tcBorders>
              <w:top w:val="nil"/>
              <w:left w:val="nil"/>
              <w:bottom w:val="single" w:sz="8" w:space="0" w:color="auto"/>
              <w:right w:val="single" w:sz="8" w:space="0" w:color="auto"/>
            </w:tcBorders>
            <w:shd w:val="clear" w:color="000000" w:fill="FFFFFF"/>
            <w:noWrap/>
            <w:vAlign w:val="center"/>
            <w:hideMark/>
          </w:tcPr>
          <w:p w14:paraId="685180B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2705.70</w:t>
            </w:r>
          </w:p>
        </w:tc>
        <w:tc>
          <w:tcPr>
            <w:tcW w:w="774" w:type="pct"/>
            <w:tcBorders>
              <w:top w:val="nil"/>
              <w:left w:val="nil"/>
              <w:bottom w:val="single" w:sz="8" w:space="0" w:color="auto"/>
              <w:right w:val="single" w:sz="8" w:space="0" w:color="auto"/>
            </w:tcBorders>
            <w:shd w:val="clear" w:color="000000" w:fill="FFFFFF"/>
            <w:noWrap/>
            <w:vAlign w:val="center"/>
            <w:hideMark/>
          </w:tcPr>
          <w:p w14:paraId="19C3BDB5"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664.03</w:t>
            </w:r>
          </w:p>
        </w:tc>
      </w:tr>
      <w:tr w:rsidR="004B3F57" w:rsidRPr="004B3F57" w14:paraId="4046733F"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21823BD5"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11</w:t>
            </w:r>
          </w:p>
        </w:tc>
        <w:tc>
          <w:tcPr>
            <w:tcW w:w="1780" w:type="pct"/>
            <w:tcBorders>
              <w:top w:val="nil"/>
              <w:left w:val="nil"/>
              <w:bottom w:val="single" w:sz="8" w:space="0" w:color="auto"/>
              <w:right w:val="single" w:sz="8" w:space="0" w:color="auto"/>
            </w:tcBorders>
            <w:shd w:val="clear" w:color="000000" w:fill="FFFFFF"/>
            <w:vAlign w:val="center"/>
            <w:hideMark/>
          </w:tcPr>
          <w:p w14:paraId="1C3E23E3"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Other cash inflows</w:t>
            </w:r>
          </w:p>
        </w:tc>
        <w:tc>
          <w:tcPr>
            <w:tcW w:w="824" w:type="pct"/>
            <w:tcBorders>
              <w:top w:val="nil"/>
              <w:left w:val="nil"/>
              <w:bottom w:val="single" w:sz="8" w:space="0" w:color="auto"/>
              <w:right w:val="single" w:sz="8" w:space="0" w:color="auto"/>
            </w:tcBorders>
            <w:shd w:val="clear" w:color="000000" w:fill="FFFFFF"/>
            <w:noWrap/>
            <w:vAlign w:val="center"/>
            <w:hideMark/>
          </w:tcPr>
          <w:p w14:paraId="16F3763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68.63</w:t>
            </w:r>
          </w:p>
        </w:tc>
        <w:tc>
          <w:tcPr>
            <w:tcW w:w="733" w:type="pct"/>
            <w:tcBorders>
              <w:top w:val="nil"/>
              <w:left w:val="nil"/>
              <w:bottom w:val="single" w:sz="8" w:space="0" w:color="auto"/>
              <w:right w:val="single" w:sz="8" w:space="0" w:color="auto"/>
            </w:tcBorders>
            <w:shd w:val="clear" w:color="000000" w:fill="FFFFFF"/>
            <w:noWrap/>
            <w:vAlign w:val="center"/>
            <w:hideMark/>
          </w:tcPr>
          <w:p w14:paraId="150AB8A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34.32</w:t>
            </w:r>
          </w:p>
        </w:tc>
        <w:tc>
          <w:tcPr>
            <w:tcW w:w="666" w:type="pct"/>
            <w:tcBorders>
              <w:top w:val="nil"/>
              <w:left w:val="nil"/>
              <w:bottom w:val="single" w:sz="8" w:space="0" w:color="auto"/>
              <w:right w:val="single" w:sz="8" w:space="0" w:color="auto"/>
            </w:tcBorders>
            <w:shd w:val="clear" w:color="000000" w:fill="FFFFFF"/>
            <w:noWrap/>
            <w:vAlign w:val="center"/>
            <w:hideMark/>
          </w:tcPr>
          <w:p w14:paraId="575BB47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975.44</w:t>
            </w:r>
          </w:p>
        </w:tc>
        <w:tc>
          <w:tcPr>
            <w:tcW w:w="774" w:type="pct"/>
            <w:tcBorders>
              <w:top w:val="nil"/>
              <w:left w:val="nil"/>
              <w:bottom w:val="single" w:sz="8" w:space="0" w:color="auto"/>
              <w:right w:val="single" w:sz="8" w:space="0" w:color="auto"/>
            </w:tcBorders>
            <w:shd w:val="clear" w:color="000000" w:fill="FFFFFF"/>
            <w:noWrap/>
            <w:vAlign w:val="center"/>
            <w:hideMark/>
          </w:tcPr>
          <w:p w14:paraId="742811F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488.33</w:t>
            </w:r>
          </w:p>
        </w:tc>
      </w:tr>
      <w:tr w:rsidR="004B3F57" w:rsidRPr="004B3F57" w14:paraId="047CBEF6"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69C0000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12</w:t>
            </w:r>
          </w:p>
        </w:tc>
        <w:tc>
          <w:tcPr>
            <w:tcW w:w="1780" w:type="pct"/>
            <w:tcBorders>
              <w:top w:val="nil"/>
              <w:left w:val="nil"/>
              <w:bottom w:val="single" w:sz="8" w:space="0" w:color="auto"/>
              <w:right w:val="single" w:sz="8" w:space="0" w:color="auto"/>
            </w:tcBorders>
            <w:shd w:val="clear" w:color="000000" w:fill="FFFFFF"/>
            <w:vAlign w:val="center"/>
            <w:hideMark/>
          </w:tcPr>
          <w:p w14:paraId="05CE7CC4"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Total cash inflows</w:t>
            </w:r>
          </w:p>
        </w:tc>
        <w:tc>
          <w:tcPr>
            <w:tcW w:w="824" w:type="pct"/>
            <w:tcBorders>
              <w:top w:val="nil"/>
              <w:left w:val="nil"/>
              <w:bottom w:val="single" w:sz="8" w:space="0" w:color="auto"/>
              <w:right w:val="single" w:sz="8" w:space="0" w:color="auto"/>
            </w:tcBorders>
            <w:shd w:val="clear" w:color="000000" w:fill="FFFFFF"/>
            <w:noWrap/>
            <w:vAlign w:val="center"/>
            <w:hideMark/>
          </w:tcPr>
          <w:p w14:paraId="5D952BB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1211.90</w:t>
            </w:r>
          </w:p>
        </w:tc>
        <w:tc>
          <w:tcPr>
            <w:tcW w:w="733" w:type="pct"/>
            <w:tcBorders>
              <w:top w:val="nil"/>
              <w:left w:val="nil"/>
              <w:bottom w:val="single" w:sz="8" w:space="0" w:color="auto"/>
              <w:right w:val="single" w:sz="8" w:space="0" w:color="auto"/>
            </w:tcBorders>
            <w:shd w:val="clear" w:color="000000" w:fill="FFFFFF"/>
            <w:noWrap/>
            <w:vAlign w:val="center"/>
            <w:hideMark/>
          </w:tcPr>
          <w:p w14:paraId="3EBAF461"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736.34</w:t>
            </w:r>
          </w:p>
        </w:tc>
        <w:tc>
          <w:tcPr>
            <w:tcW w:w="666" w:type="pct"/>
            <w:tcBorders>
              <w:top w:val="nil"/>
              <w:left w:val="nil"/>
              <w:bottom w:val="single" w:sz="8" w:space="0" w:color="auto"/>
              <w:right w:val="single" w:sz="8" w:space="0" w:color="auto"/>
            </w:tcBorders>
            <w:shd w:val="clear" w:color="000000" w:fill="FFFFFF"/>
            <w:noWrap/>
            <w:vAlign w:val="center"/>
            <w:hideMark/>
          </w:tcPr>
          <w:p w14:paraId="253E127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3681.14</w:t>
            </w:r>
          </w:p>
        </w:tc>
        <w:tc>
          <w:tcPr>
            <w:tcW w:w="774" w:type="pct"/>
            <w:tcBorders>
              <w:top w:val="nil"/>
              <w:left w:val="nil"/>
              <w:bottom w:val="single" w:sz="8" w:space="0" w:color="auto"/>
              <w:right w:val="single" w:sz="8" w:space="0" w:color="auto"/>
            </w:tcBorders>
            <w:shd w:val="clear" w:color="000000" w:fill="FFFFFF"/>
            <w:noWrap/>
            <w:vAlign w:val="center"/>
            <w:hideMark/>
          </w:tcPr>
          <w:p w14:paraId="59574847"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1152.36</w:t>
            </w:r>
          </w:p>
        </w:tc>
      </w:tr>
      <w:tr w:rsidR="004B3F57" w:rsidRPr="004B3F57" w14:paraId="0CF911B5" w14:textId="77777777" w:rsidTr="004B3F57">
        <w:trPr>
          <w:trHeight w:val="540"/>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0B69DD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 </w:t>
            </w:r>
          </w:p>
        </w:tc>
        <w:tc>
          <w:tcPr>
            <w:tcW w:w="1780" w:type="pct"/>
            <w:tcBorders>
              <w:top w:val="nil"/>
              <w:left w:val="nil"/>
              <w:bottom w:val="single" w:sz="8" w:space="0" w:color="auto"/>
              <w:right w:val="single" w:sz="8" w:space="0" w:color="auto"/>
            </w:tcBorders>
            <w:shd w:val="clear" w:color="000000" w:fill="FFFFFF"/>
            <w:noWrap/>
            <w:vAlign w:val="center"/>
            <w:hideMark/>
          </w:tcPr>
          <w:p w14:paraId="38D1021D" w14:textId="77777777" w:rsidR="004B3F57" w:rsidRPr="004B3F57" w:rsidRDefault="004B3F57" w:rsidP="004B3F57">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c>
          <w:tcPr>
            <w:tcW w:w="824" w:type="pct"/>
            <w:tcBorders>
              <w:top w:val="nil"/>
              <w:left w:val="nil"/>
              <w:bottom w:val="single" w:sz="8" w:space="0" w:color="auto"/>
              <w:right w:val="single" w:sz="8" w:space="0" w:color="auto"/>
            </w:tcBorders>
            <w:shd w:val="clear" w:color="000000" w:fill="FFFFFF"/>
            <w:noWrap/>
            <w:vAlign w:val="center"/>
            <w:hideMark/>
          </w:tcPr>
          <w:p w14:paraId="454AEC4D"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 </w:t>
            </w:r>
          </w:p>
        </w:tc>
        <w:tc>
          <w:tcPr>
            <w:tcW w:w="733" w:type="pct"/>
            <w:tcBorders>
              <w:top w:val="nil"/>
              <w:left w:val="nil"/>
              <w:bottom w:val="single" w:sz="8" w:space="0" w:color="auto"/>
              <w:right w:val="single" w:sz="8" w:space="0" w:color="auto"/>
            </w:tcBorders>
            <w:shd w:val="clear" w:color="000000" w:fill="FFFFFF"/>
            <w:vAlign w:val="center"/>
            <w:hideMark/>
          </w:tcPr>
          <w:p w14:paraId="665810AD" w14:textId="77777777" w:rsidR="004B3F57" w:rsidRPr="004B3F57" w:rsidRDefault="004B3F57" w:rsidP="004D543C">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Total adjusted value</w:t>
            </w:r>
          </w:p>
        </w:tc>
        <w:tc>
          <w:tcPr>
            <w:tcW w:w="666" w:type="pct"/>
            <w:tcBorders>
              <w:top w:val="nil"/>
              <w:left w:val="nil"/>
              <w:bottom w:val="single" w:sz="8" w:space="0" w:color="auto"/>
              <w:right w:val="single" w:sz="8" w:space="0" w:color="auto"/>
            </w:tcBorders>
            <w:shd w:val="clear" w:color="000000" w:fill="FFFFFF"/>
            <w:noWrap/>
            <w:vAlign w:val="center"/>
            <w:hideMark/>
          </w:tcPr>
          <w:p w14:paraId="5B849A5B" w14:textId="77777777" w:rsidR="004B3F57" w:rsidRPr="004B3F57" w:rsidRDefault="004B3F57" w:rsidP="004D543C">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 </w:t>
            </w:r>
          </w:p>
        </w:tc>
        <w:tc>
          <w:tcPr>
            <w:tcW w:w="774" w:type="pct"/>
            <w:tcBorders>
              <w:top w:val="nil"/>
              <w:left w:val="nil"/>
              <w:bottom w:val="single" w:sz="8" w:space="0" w:color="auto"/>
              <w:right w:val="single" w:sz="8" w:space="0" w:color="auto"/>
            </w:tcBorders>
            <w:shd w:val="clear" w:color="000000" w:fill="FFFFFF"/>
            <w:vAlign w:val="center"/>
            <w:hideMark/>
          </w:tcPr>
          <w:p w14:paraId="09228947" w14:textId="77777777" w:rsidR="004B3F57" w:rsidRPr="004B3F57" w:rsidRDefault="004B3F57" w:rsidP="004D543C">
            <w:pPr>
              <w:spacing w:after="0" w:line="240" w:lineRule="auto"/>
              <w:ind w:left="0" w:right="0" w:firstLine="0"/>
              <w:jc w:val="left"/>
              <w:rPr>
                <w:rFonts w:ascii="Trebuchet MS" w:hAnsi="Trebuchet MS" w:cs="Calibri"/>
                <w:sz w:val="20"/>
                <w:szCs w:val="20"/>
              </w:rPr>
            </w:pPr>
            <w:r w:rsidRPr="004B3F57">
              <w:rPr>
                <w:rFonts w:ascii="Trebuchet MS" w:hAnsi="Trebuchet MS" w:cs="Calibri"/>
                <w:sz w:val="20"/>
                <w:szCs w:val="20"/>
              </w:rPr>
              <w:t>Total adjusted value</w:t>
            </w:r>
          </w:p>
        </w:tc>
      </w:tr>
      <w:tr w:rsidR="004B3F57" w:rsidRPr="004B3F57" w14:paraId="7E863F8F"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4A2906F9"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13</w:t>
            </w:r>
          </w:p>
        </w:tc>
        <w:tc>
          <w:tcPr>
            <w:tcW w:w="1780" w:type="pct"/>
            <w:tcBorders>
              <w:top w:val="nil"/>
              <w:left w:val="nil"/>
              <w:bottom w:val="single" w:sz="8" w:space="0" w:color="auto"/>
              <w:right w:val="single" w:sz="8" w:space="0" w:color="auto"/>
            </w:tcBorders>
            <w:shd w:val="clear" w:color="000000" w:fill="FFFFFF"/>
            <w:vAlign w:val="center"/>
            <w:hideMark/>
          </w:tcPr>
          <w:p w14:paraId="22FD5D78"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TOTAL HQLA</w:t>
            </w:r>
          </w:p>
        </w:tc>
        <w:tc>
          <w:tcPr>
            <w:tcW w:w="824" w:type="pct"/>
            <w:tcBorders>
              <w:top w:val="nil"/>
              <w:left w:val="nil"/>
              <w:bottom w:val="single" w:sz="8" w:space="0" w:color="auto"/>
              <w:right w:val="single" w:sz="8" w:space="0" w:color="auto"/>
            </w:tcBorders>
            <w:shd w:val="clear" w:color="000000" w:fill="000000"/>
            <w:noWrap/>
            <w:vAlign w:val="center"/>
            <w:hideMark/>
          </w:tcPr>
          <w:p w14:paraId="6CF7845B"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34758.77</w:t>
            </w:r>
          </w:p>
        </w:tc>
        <w:tc>
          <w:tcPr>
            <w:tcW w:w="733" w:type="pct"/>
            <w:tcBorders>
              <w:top w:val="nil"/>
              <w:left w:val="nil"/>
              <w:bottom w:val="single" w:sz="8" w:space="0" w:color="auto"/>
              <w:right w:val="single" w:sz="8" w:space="0" w:color="auto"/>
            </w:tcBorders>
            <w:shd w:val="clear" w:color="000000" w:fill="FFFFFF"/>
            <w:noWrap/>
            <w:vAlign w:val="center"/>
            <w:hideMark/>
          </w:tcPr>
          <w:p w14:paraId="6E9D870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34852.22</w:t>
            </w:r>
          </w:p>
        </w:tc>
        <w:tc>
          <w:tcPr>
            <w:tcW w:w="666" w:type="pct"/>
            <w:tcBorders>
              <w:top w:val="nil"/>
              <w:left w:val="nil"/>
              <w:bottom w:val="single" w:sz="8" w:space="0" w:color="auto"/>
              <w:right w:val="single" w:sz="8" w:space="0" w:color="auto"/>
            </w:tcBorders>
            <w:shd w:val="clear" w:color="000000" w:fill="000000"/>
            <w:noWrap/>
            <w:vAlign w:val="center"/>
            <w:hideMark/>
          </w:tcPr>
          <w:p w14:paraId="2C50F33A"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36091.93</w:t>
            </w:r>
          </w:p>
        </w:tc>
        <w:tc>
          <w:tcPr>
            <w:tcW w:w="774" w:type="pct"/>
            <w:tcBorders>
              <w:top w:val="nil"/>
              <w:left w:val="nil"/>
              <w:bottom w:val="single" w:sz="8" w:space="0" w:color="auto"/>
              <w:right w:val="single" w:sz="8" w:space="0" w:color="auto"/>
            </w:tcBorders>
            <w:shd w:val="clear" w:color="000000" w:fill="FFFFFF"/>
            <w:noWrap/>
            <w:vAlign w:val="center"/>
            <w:hideMark/>
          </w:tcPr>
          <w:p w14:paraId="388FC50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35685.84</w:t>
            </w:r>
          </w:p>
        </w:tc>
      </w:tr>
      <w:tr w:rsidR="004B3F57" w:rsidRPr="004B3F57" w14:paraId="7B3AF4E0"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7F413C9E"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14</w:t>
            </w:r>
          </w:p>
        </w:tc>
        <w:tc>
          <w:tcPr>
            <w:tcW w:w="1780" w:type="pct"/>
            <w:tcBorders>
              <w:top w:val="nil"/>
              <w:left w:val="nil"/>
              <w:bottom w:val="single" w:sz="8" w:space="0" w:color="auto"/>
              <w:right w:val="single" w:sz="8" w:space="0" w:color="auto"/>
            </w:tcBorders>
            <w:shd w:val="clear" w:color="000000" w:fill="FFFFFF"/>
            <w:vAlign w:val="center"/>
            <w:hideMark/>
          </w:tcPr>
          <w:p w14:paraId="04BF7A5B"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Total Net Cash Outflows</w:t>
            </w:r>
          </w:p>
        </w:tc>
        <w:tc>
          <w:tcPr>
            <w:tcW w:w="824" w:type="pct"/>
            <w:tcBorders>
              <w:top w:val="nil"/>
              <w:left w:val="nil"/>
              <w:bottom w:val="single" w:sz="8" w:space="0" w:color="auto"/>
              <w:right w:val="single" w:sz="8" w:space="0" w:color="auto"/>
            </w:tcBorders>
            <w:shd w:val="clear" w:color="000000" w:fill="000000"/>
            <w:noWrap/>
            <w:vAlign w:val="center"/>
            <w:hideMark/>
          </w:tcPr>
          <w:p w14:paraId="40C59966"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156285.31</w:t>
            </w:r>
          </w:p>
        </w:tc>
        <w:tc>
          <w:tcPr>
            <w:tcW w:w="733" w:type="pct"/>
            <w:tcBorders>
              <w:top w:val="nil"/>
              <w:left w:val="nil"/>
              <w:bottom w:val="single" w:sz="8" w:space="0" w:color="auto"/>
              <w:right w:val="single" w:sz="8" w:space="0" w:color="auto"/>
            </w:tcBorders>
            <w:shd w:val="clear" w:color="000000" w:fill="FFFFFF"/>
            <w:noWrap/>
            <w:vAlign w:val="center"/>
            <w:hideMark/>
          </w:tcPr>
          <w:p w14:paraId="779ABB90"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28345.23</w:t>
            </w:r>
          </w:p>
        </w:tc>
        <w:tc>
          <w:tcPr>
            <w:tcW w:w="666" w:type="pct"/>
            <w:tcBorders>
              <w:top w:val="nil"/>
              <w:left w:val="nil"/>
              <w:bottom w:val="single" w:sz="8" w:space="0" w:color="auto"/>
              <w:right w:val="single" w:sz="8" w:space="0" w:color="auto"/>
            </w:tcBorders>
            <w:shd w:val="clear" w:color="000000" w:fill="000000"/>
            <w:noWrap/>
            <w:vAlign w:val="center"/>
            <w:hideMark/>
          </w:tcPr>
          <w:p w14:paraId="061A7788"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151726.25</w:t>
            </w:r>
          </w:p>
        </w:tc>
        <w:tc>
          <w:tcPr>
            <w:tcW w:w="774" w:type="pct"/>
            <w:tcBorders>
              <w:top w:val="nil"/>
              <w:left w:val="nil"/>
              <w:bottom w:val="single" w:sz="8" w:space="0" w:color="auto"/>
              <w:right w:val="single" w:sz="8" w:space="0" w:color="auto"/>
            </w:tcBorders>
            <w:shd w:val="clear" w:color="000000" w:fill="FFFFFF"/>
            <w:noWrap/>
            <w:vAlign w:val="center"/>
            <w:hideMark/>
          </w:tcPr>
          <w:p w14:paraId="40684564"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27707.04</w:t>
            </w:r>
          </w:p>
        </w:tc>
      </w:tr>
      <w:tr w:rsidR="004B3F57" w:rsidRPr="004B3F57" w14:paraId="0C3648C6" w14:textId="77777777" w:rsidTr="004B3F57">
        <w:trPr>
          <w:trHeight w:val="402"/>
        </w:trPr>
        <w:tc>
          <w:tcPr>
            <w:tcW w:w="222" w:type="pct"/>
            <w:tcBorders>
              <w:top w:val="nil"/>
              <w:left w:val="single" w:sz="8" w:space="0" w:color="auto"/>
              <w:bottom w:val="single" w:sz="8" w:space="0" w:color="auto"/>
              <w:right w:val="single" w:sz="8" w:space="0" w:color="auto"/>
            </w:tcBorders>
            <w:shd w:val="clear" w:color="000000" w:fill="FFFFFF"/>
            <w:noWrap/>
            <w:vAlign w:val="center"/>
            <w:hideMark/>
          </w:tcPr>
          <w:p w14:paraId="1FD136A1" w14:textId="77777777" w:rsidR="004B3F57" w:rsidRPr="004B3F57" w:rsidRDefault="004B3F57" w:rsidP="004B3F57">
            <w:pPr>
              <w:spacing w:after="0" w:line="240" w:lineRule="auto"/>
              <w:ind w:left="0" w:right="0" w:firstLine="0"/>
              <w:jc w:val="right"/>
              <w:rPr>
                <w:rFonts w:ascii="Trebuchet MS" w:hAnsi="Trebuchet MS" w:cs="Calibri"/>
                <w:sz w:val="20"/>
                <w:szCs w:val="20"/>
              </w:rPr>
            </w:pPr>
            <w:r w:rsidRPr="004B3F57">
              <w:rPr>
                <w:rFonts w:ascii="Trebuchet MS" w:hAnsi="Trebuchet MS" w:cs="Calibri"/>
                <w:sz w:val="20"/>
                <w:szCs w:val="20"/>
              </w:rPr>
              <w:t>15</w:t>
            </w:r>
          </w:p>
        </w:tc>
        <w:tc>
          <w:tcPr>
            <w:tcW w:w="1780" w:type="pct"/>
            <w:tcBorders>
              <w:top w:val="nil"/>
              <w:left w:val="nil"/>
              <w:bottom w:val="single" w:sz="8" w:space="0" w:color="auto"/>
              <w:right w:val="single" w:sz="8" w:space="0" w:color="auto"/>
            </w:tcBorders>
            <w:shd w:val="clear" w:color="000000" w:fill="FFFFFF"/>
            <w:vAlign w:val="center"/>
            <w:hideMark/>
          </w:tcPr>
          <w:p w14:paraId="38297EB4" w14:textId="77777777" w:rsidR="004B3F57" w:rsidRPr="004B3F57" w:rsidRDefault="004B3F57" w:rsidP="004B3F57">
            <w:pPr>
              <w:spacing w:after="0" w:line="240" w:lineRule="auto"/>
              <w:ind w:left="0" w:right="0" w:firstLine="0"/>
              <w:jc w:val="left"/>
              <w:rPr>
                <w:rFonts w:ascii="Trebuchet MS" w:hAnsi="Trebuchet MS" w:cs="Calibri"/>
                <w:b/>
                <w:bCs/>
                <w:sz w:val="20"/>
                <w:szCs w:val="20"/>
              </w:rPr>
            </w:pPr>
            <w:r w:rsidRPr="004B3F57">
              <w:rPr>
                <w:rFonts w:ascii="Trebuchet MS" w:hAnsi="Trebuchet MS" w:cs="Calibri"/>
                <w:b/>
                <w:bCs/>
                <w:sz w:val="20"/>
                <w:szCs w:val="20"/>
              </w:rPr>
              <w:t>Liquidity Coverage Ratio (%)</w:t>
            </w:r>
          </w:p>
        </w:tc>
        <w:tc>
          <w:tcPr>
            <w:tcW w:w="824" w:type="pct"/>
            <w:tcBorders>
              <w:top w:val="nil"/>
              <w:left w:val="nil"/>
              <w:bottom w:val="single" w:sz="8" w:space="0" w:color="auto"/>
              <w:right w:val="single" w:sz="8" w:space="0" w:color="auto"/>
            </w:tcBorders>
            <w:shd w:val="clear" w:color="000000" w:fill="000000"/>
            <w:noWrap/>
            <w:vAlign w:val="center"/>
            <w:hideMark/>
          </w:tcPr>
          <w:p w14:paraId="2AEE8C6B" w14:textId="77777777" w:rsidR="004B3F57" w:rsidRPr="004B3F57" w:rsidRDefault="004B3F57" w:rsidP="004B3F57">
            <w:pPr>
              <w:spacing w:after="0" w:line="240" w:lineRule="auto"/>
              <w:ind w:left="0" w:right="0" w:firstLine="0"/>
              <w:jc w:val="right"/>
              <w:rPr>
                <w:rFonts w:ascii="Trebuchet MS" w:hAnsi="Trebuchet MS" w:cs="Calibri"/>
                <w:b/>
                <w:bCs/>
                <w:sz w:val="20"/>
                <w:szCs w:val="20"/>
              </w:rPr>
            </w:pPr>
            <w:r w:rsidRPr="004B3F57">
              <w:rPr>
                <w:rFonts w:ascii="Trebuchet MS" w:hAnsi="Trebuchet MS" w:cs="Calibri"/>
                <w:b/>
                <w:bCs/>
                <w:sz w:val="20"/>
                <w:szCs w:val="20"/>
              </w:rPr>
              <w:t> </w:t>
            </w:r>
          </w:p>
        </w:tc>
        <w:tc>
          <w:tcPr>
            <w:tcW w:w="733" w:type="pct"/>
            <w:tcBorders>
              <w:top w:val="nil"/>
              <w:left w:val="nil"/>
              <w:bottom w:val="single" w:sz="8" w:space="0" w:color="auto"/>
              <w:right w:val="single" w:sz="8" w:space="0" w:color="auto"/>
            </w:tcBorders>
            <w:shd w:val="clear" w:color="000000" w:fill="FFFFFF"/>
            <w:noWrap/>
            <w:vAlign w:val="center"/>
            <w:hideMark/>
          </w:tcPr>
          <w:p w14:paraId="1C8DB439" w14:textId="77777777" w:rsidR="004B3F57" w:rsidRPr="004B3F57" w:rsidRDefault="004B3F57" w:rsidP="004B3F57">
            <w:pPr>
              <w:spacing w:after="0" w:line="240" w:lineRule="auto"/>
              <w:ind w:left="0" w:right="0" w:firstLine="0"/>
              <w:jc w:val="right"/>
              <w:rPr>
                <w:rFonts w:ascii="Trebuchet MS" w:hAnsi="Trebuchet MS" w:cs="Calibri"/>
                <w:b/>
                <w:bCs/>
                <w:sz w:val="20"/>
                <w:szCs w:val="20"/>
              </w:rPr>
            </w:pPr>
            <w:r w:rsidRPr="004B3F57">
              <w:rPr>
                <w:rFonts w:ascii="Trebuchet MS" w:hAnsi="Trebuchet MS" w:cs="Calibri"/>
                <w:b/>
                <w:bCs/>
                <w:sz w:val="20"/>
                <w:szCs w:val="20"/>
              </w:rPr>
              <w:t>122.96%</w:t>
            </w:r>
          </w:p>
        </w:tc>
        <w:tc>
          <w:tcPr>
            <w:tcW w:w="666" w:type="pct"/>
            <w:tcBorders>
              <w:top w:val="nil"/>
              <w:left w:val="nil"/>
              <w:bottom w:val="single" w:sz="8" w:space="0" w:color="auto"/>
              <w:right w:val="single" w:sz="8" w:space="0" w:color="auto"/>
            </w:tcBorders>
            <w:shd w:val="clear" w:color="000000" w:fill="000000"/>
            <w:noWrap/>
            <w:vAlign w:val="center"/>
            <w:hideMark/>
          </w:tcPr>
          <w:p w14:paraId="0347AFE6" w14:textId="77777777" w:rsidR="004B3F57" w:rsidRPr="004B3F57" w:rsidRDefault="004B3F57" w:rsidP="004B3F57">
            <w:pPr>
              <w:spacing w:after="0" w:line="240" w:lineRule="auto"/>
              <w:ind w:left="0" w:right="0" w:firstLine="0"/>
              <w:jc w:val="right"/>
              <w:rPr>
                <w:rFonts w:ascii="Trebuchet MS" w:hAnsi="Trebuchet MS" w:cs="Calibri"/>
                <w:b/>
                <w:bCs/>
                <w:sz w:val="20"/>
                <w:szCs w:val="20"/>
              </w:rPr>
            </w:pPr>
            <w:r w:rsidRPr="004B3F57">
              <w:rPr>
                <w:rFonts w:ascii="Trebuchet MS" w:hAnsi="Trebuchet MS" w:cs="Calibri"/>
                <w:b/>
                <w:bCs/>
                <w:sz w:val="20"/>
                <w:szCs w:val="20"/>
              </w:rPr>
              <w:t> </w:t>
            </w:r>
          </w:p>
        </w:tc>
        <w:tc>
          <w:tcPr>
            <w:tcW w:w="774" w:type="pct"/>
            <w:tcBorders>
              <w:top w:val="nil"/>
              <w:left w:val="nil"/>
              <w:bottom w:val="single" w:sz="8" w:space="0" w:color="auto"/>
              <w:right w:val="single" w:sz="8" w:space="0" w:color="auto"/>
            </w:tcBorders>
            <w:shd w:val="clear" w:color="000000" w:fill="FFFFFF"/>
            <w:noWrap/>
            <w:vAlign w:val="center"/>
            <w:hideMark/>
          </w:tcPr>
          <w:p w14:paraId="7033BF14" w14:textId="77777777" w:rsidR="004B3F57" w:rsidRPr="004B3F57" w:rsidRDefault="004B3F57" w:rsidP="004B3F57">
            <w:pPr>
              <w:spacing w:after="0" w:line="240" w:lineRule="auto"/>
              <w:ind w:left="0" w:right="0" w:firstLine="0"/>
              <w:jc w:val="right"/>
              <w:rPr>
                <w:rFonts w:ascii="Trebuchet MS" w:hAnsi="Trebuchet MS" w:cs="Calibri"/>
                <w:b/>
                <w:bCs/>
                <w:sz w:val="20"/>
                <w:szCs w:val="20"/>
              </w:rPr>
            </w:pPr>
            <w:r w:rsidRPr="004B3F57">
              <w:rPr>
                <w:rFonts w:ascii="Trebuchet MS" w:hAnsi="Trebuchet MS" w:cs="Calibri"/>
                <w:b/>
                <w:bCs/>
                <w:sz w:val="20"/>
                <w:szCs w:val="20"/>
              </w:rPr>
              <w:t>128.80%</w:t>
            </w:r>
          </w:p>
        </w:tc>
      </w:tr>
    </w:tbl>
    <w:p w14:paraId="7221A0C7" w14:textId="0F21F845" w:rsidR="0020394E" w:rsidRDefault="0020394E">
      <w:pPr>
        <w:spacing w:after="0" w:line="259" w:lineRule="auto"/>
        <w:ind w:left="0" w:right="87" w:firstLine="0"/>
        <w:jc w:val="right"/>
        <w:rPr>
          <w:sz w:val="17"/>
        </w:rPr>
      </w:pPr>
    </w:p>
    <w:p w14:paraId="03858AFC" w14:textId="79A48957" w:rsidR="00D96314" w:rsidRDefault="00547924" w:rsidP="009B4539">
      <w:pPr>
        <w:spacing w:after="0" w:line="259" w:lineRule="auto"/>
        <w:ind w:left="0" w:right="0" w:firstLine="0"/>
        <w:jc w:val="left"/>
      </w:pPr>
      <w:r>
        <w:t xml:space="preserve"> </w:t>
      </w:r>
      <w:r>
        <w:rPr>
          <w:sz w:val="15"/>
        </w:rPr>
        <w:t xml:space="preserve"> </w:t>
      </w:r>
    </w:p>
    <w:p w14:paraId="35318731" w14:textId="665D7CC5" w:rsidR="00D96314" w:rsidRPr="003300D9" w:rsidRDefault="00547924">
      <w:pPr>
        <w:ind w:left="9" w:right="80"/>
        <w:rPr>
          <w:rFonts w:ascii="Trebuchet MS" w:hAnsi="Trebuchet MS"/>
        </w:rPr>
      </w:pPr>
      <w:r w:rsidRPr="003300D9">
        <w:rPr>
          <w:rFonts w:ascii="Trebuchet MS" w:hAnsi="Trebuchet MS"/>
        </w:rPr>
        <w:t>In accordance with RBI guidelines vide circular no. RBI/2014-15/529 DBR. No. BP.BC.80/21.06.201/2014-15 dated 31st March 2015, average weighted and unweighted amounts have been calculated taking simple daily average. The bank has considered 7</w:t>
      </w:r>
      <w:r w:rsidR="003300D9" w:rsidRPr="003300D9">
        <w:rPr>
          <w:rFonts w:ascii="Trebuchet MS" w:hAnsi="Trebuchet MS"/>
        </w:rPr>
        <w:t>4</w:t>
      </w:r>
      <w:r w:rsidRPr="003300D9">
        <w:rPr>
          <w:rFonts w:ascii="Trebuchet MS" w:hAnsi="Trebuchet MS"/>
        </w:rPr>
        <w:t xml:space="preserve"> data points for the quarter ended </w:t>
      </w:r>
      <w:r w:rsidR="009A357D">
        <w:rPr>
          <w:rFonts w:ascii="Trebuchet MS" w:hAnsi="Trebuchet MS"/>
        </w:rPr>
        <w:t>December</w:t>
      </w:r>
      <w:r w:rsidRPr="003300D9">
        <w:rPr>
          <w:rFonts w:ascii="Trebuchet MS" w:hAnsi="Trebuchet MS"/>
        </w:rPr>
        <w:t xml:space="preserve"> 2025.  </w:t>
      </w:r>
    </w:p>
    <w:p w14:paraId="481C2BA2" w14:textId="77777777" w:rsidR="00D96314" w:rsidRPr="003300D9" w:rsidRDefault="00547924">
      <w:pPr>
        <w:spacing w:after="53" w:line="259" w:lineRule="auto"/>
        <w:ind w:left="14" w:right="0" w:firstLine="0"/>
        <w:jc w:val="left"/>
        <w:rPr>
          <w:rFonts w:ascii="Trebuchet MS" w:hAnsi="Trebuchet MS"/>
        </w:rPr>
      </w:pPr>
      <w:r w:rsidRPr="003300D9">
        <w:rPr>
          <w:rFonts w:ascii="Trebuchet MS" w:hAnsi="Trebuchet MS"/>
        </w:rPr>
        <w:t xml:space="preserve"> </w:t>
      </w:r>
    </w:p>
    <w:p w14:paraId="7BC2AE9B" w14:textId="0A02F1D2" w:rsidR="00D96314" w:rsidRPr="003300D9" w:rsidRDefault="00547924">
      <w:pPr>
        <w:spacing w:after="409"/>
        <w:ind w:left="9" w:right="80"/>
        <w:rPr>
          <w:rFonts w:ascii="Trebuchet MS" w:hAnsi="Trebuchet MS"/>
        </w:rPr>
      </w:pPr>
      <w:r w:rsidRPr="003300D9">
        <w:rPr>
          <w:rFonts w:ascii="Trebuchet MS" w:hAnsi="Trebuchet MS"/>
        </w:rPr>
        <w:t>Bank’s LCR was reported at 1</w:t>
      </w:r>
      <w:r w:rsidR="009B4539" w:rsidRPr="003300D9">
        <w:rPr>
          <w:rFonts w:ascii="Trebuchet MS" w:hAnsi="Trebuchet MS"/>
        </w:rPr>
        <w:t>2</w:t>
      </w:r>
      <w:r w:rsidR="008D7EC0" w:rsidRPr="003300D9">
        <w:rPr>
          <w:rFonts w:ascii="Trebuchet MS" w:hAnsi="Trebuchet MS"/>
        </w:rPr>
        <w:t>2.96</w:t>
      </w:r>
      <w:r w:rsidRPr="003300D9">
        <w:rPr>
          <w:rFonts w:ascii="Trebuchet MS" w:hAnsi="Trebuchet MS"/>
        </w:rPr>
        <w:t>% based on daily average of past three months (Q</w:t>
      </w:r>
      <w:r w:rsidR="008D7EC0" w:rsidRPr="003300D9">
        <w:rPr>
          <w:rFonts w:ascii="Trebuchet MS" w:hAnsi="Trebuchet MS"/>
        </w:rPr>
        <w:t>3</w:t>
      </w:r>
      <w:r w:rsidRPr="003300D9">
        <w:rPr>
          <w:rFonts w:ascii="Trebuchet MS" w:hAnsi="Trebuchet MS"/>
        </w:rPr>
        <w:t xml:space="preserve"> FY25-26). The position remained above the minimum regulatory requirement of 100%. Average HQLA held during the quarter was Rs 3</w:t>
      </w:r>
      <w:r w:rsidR="00F31080" w:rsidRPr="003300D9">
        <w:rPr>
          <w:rFonts w:ascii="Trebuchet MS" w:hAnsi="Trebuchet MS"/>
        </w:rPr>
        <w:t>4852.22</w:t>
      </w:r>
      <w:r w:rsidRPr="003300D9">
        <w:rPr>
          <w:rFonts w:ascii="Trebuchet MS" w:hAnsi="Trebuchet MS"/>
        </w:rPr>
        <w:t xml:space="preserve"> Cr which were mostly in the form of level 1 assets. The weighted average total net cash outflows were to the tune of Rs 2</w:t>
      </w:r>
      <w:r w:rsidR="00F31080" w:rsidRPr="003300D9">
        <w:rPr>
          <w:rFonts w:ascii="Trebuchet MS" w:hAnsi="Trebuchet MS"/>
        </w:rPr>
        <w:t>9081.58</w:t>
      </w:r>
      <w:r w:rsidRPr="003300D9">
        <w:rPr>
          <w:rFonts w:ascii="Trebuchet MS" w:hAnsi="Trebuchet MS"/>
        </w:rPr>
        <w:t xml:space="preserve"> Cr.  </w:t>
      </w:r>
    </w:p>
    <w:p w14:paraId="76B15875" w14:textId="77777777" w:rsidR="00D96314" w:rsidRPr="003300D9" w:rsidRDefault="00547924">
      <w:pPr>
        <w:spacing w:after="409"/>
        <w:ind w:left="9" w:right="80"/>
        <w:rPr>
          <w:rFonts w:ascii="Trebuchet MS" w:hAnsi="Trebuchet MS"/>
        </w:rPr>
      </w:pPr>
      <w:r w:rsidRPr="003300D9">
        <w:rPr>
          <w:rFonts w:ascii="Trebuchet MS" w:hAnsi="Trebuchet MS"/>
        </w:rPr>
        <w:t xml:space="preserve">Liquidity Management in the Bank is driven by RBI guidelines and Bank’s ALM Policy. ALCO has been empowered by the Bank’s Board to formulate the funding strategies to ensure that the funding sources are well diversified and is consistent with the operational requirements of the Bank. In addition to daily / monthly LCR reporting, Bank also prepares daily Structural Liquidity Statement to assess the liquidity needs of the Bank on an ongoing basis. </w:t>
      </w:r>
    </w:p>
    <w:p w14:paraId="0C9B6CEE" w14:textId="77777777" w:rsidR="00D96314" w:rsidRDefault="00547924">
      <w:pPr>
        <w:spacing w:after="125" w:line="259" w:lineRule="auto"/>
        <w:ind w:left="14" w:right="0" w:firstLine="0"/>
        <w:jc w:val="left"/>
      </w:pPr>
      <w:r>
        <w:t xml:space="preserve">  </w:t>
      </w:r>
    </w:p>
    <w:p w14:paraId="41AE93A5" w14:textId="77777777" w:rsidR="00D96314" w:rsidRDefault="00547924">
      <w:pPr>
        <w:spacing w:after="0" w:line="259" w:lineRule="auto"/>
        <w:ind w:left="14" w:right="0" w:firstLine="0"/>
        <w:jc w:val="left"/>
      </w:pPr>
      <w:r>
        <w:t xml:space="preserve"> </w:t>
      </w:r>
    </w:p>
    <w:sectPr w:rsidR="00D96314">
      <w:pgSz w:w="12240" w:h="15840"/>
      <w:pgMar w:top="379" w:right="1375" w:bottom="709" w:left="18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6314"/>
    <w:rsid w:val="00080EA0"/>
    <w:rsid w:val="000F4AF2"/>
    <w:rsid w:val="00131488"/>
    <w:rsid w:val="0020394E"/>
    <w:rsid w:val="003300D9"/>
    <w:rsid w:val="004B3F57"/>
    <w:rsid w:val="004D543C"/>
    <w:rsid w:val="00547924"/>
    <w:rsid w:val="00765256"/>
    <w:rsid w:val="008D7EC0"/>
    <w:rsid w:val="009A357D"/>
    <w:rsid w:val="009B4539"/>
    <w:rsid w:val="00A90916"/>
    <w:rsid w:val="00D77AEE"/>
    <w:rsid w:val="00D96314"/>
    <w:rsid w:val="00F3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DB7F"/>
  <w15:docId w15:val="{CDFD71D5-B938-4B22-9C3F-D59776D7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9" w:lineRule="auto"/>
      <w:ind w:left="24" w:right="67"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6221">
      <w:bodyDiv w:val="1"/>
      <w:marLeft w:val="0"/>
      <w:marRight w:val="0"/>
      <w:marTop w:val="0"/>
      <w:marBottom w:val="0"/>
      <w:divBdr>
        <w:top w:val="none" w:sz="0" w:space="0" w:color="auto"/>
        <w:left w:val="none" w:sz="0" w:space="0" w:color="auto"/>
        <w:bottom w:val="none" w:sz="0" w:space="0" w:color="auto"/>
        <w:right w:val="none" w:sz="0" w:space="0" w:color="auto"/>
      </w:divBdr>
    </w:div>
    <w:div w:id="809593037">
      <w:bodyDiv w:val="1"/>
      <w:marLeft w:val="0"/>
      <w:marRight w:val="0"/>
      <w:marTop w:val="0"/>
      <w:marBottom w:val="0"/>
      <w:divBdr>
        <w:top w:val="none" w:sz="0" w:space="0" w:color="auto"/>
        <w:left w:val="none" w:sz="0" w:space="0" w:color="auto"/>
        <w:bottom w:val="none" w:sz="0" w:space="0" w:color="auto"/>
        <w:right w:val="none" w:sz="0" w:space="0" w:color="auto"/>
      </w:divBdr>
    </w:div>
    <w:div w:id="147359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LCR disclosure</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LCR disclosure</dc:title>
  <dc:subject/>
  <dc:creator>Naman Mishra</dc:creator>
  <cp:keywords/>
  <dc:description/>
  <cp:lastModifiedBy>Mustafa Farooq Bhat</cp:lastModifiedBy>
  <cp:revision>5</cp:revision>
  <cp:lastPrinted>2026-01-31T09:23:00Z</cp:lastPrinted>
  <dcterms:created xsi:type="dcterms:W3CDTF">2025-10-29T09:03:00Z</dcterms:created>
  <dcterms:modified xsi:type="dcterms:W3CDTF">2026-01-31T09:23:00Z</dcterms:modified>
</cp:coreProperties>
</file>